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D8389" w14:textId="40941FE9" w:rsidR="00260C9E" w:rsidRPr="00A54900" w:rsidRDefault="00260C9E" w:rsidP="00260C9E">
      <w:pPr>
        <w:pStyle w:val="Heading1"/>
        <w:rPr>
          <w:rFonts w:asciiTheme="minorHAnsi" w:hAnsiTheme="minorHAnsi" w:cstheme="minorHAnsi"/>
          <w:b/>
          <w:bCs/>
          <w:color w:val="538135" w:themeColor="accent6" w:themeShade="BF"/>
        </w:rPr>
      </w:pPr>
      <w:r w:rsidRPr="00A54900">
        <w:rPr>
          <w:rFonts w:asciiTheme="minorHAnsi" w:hAnsiTheme="minorHAnsi" w:cstheme="minorHAnsi"/>
          <w:b/>
          <w:bCs/>
          <w:color w:val="538135" w:themeColor="accent6" w:themeShade="BF"/>
        </w:rPr>
        <w:t xml:space="preserve">Exercise </w:t>
      </w:r>
      <w:r w:rsidR="00FA566E">
        <w:rPr>
          <w:rFonts w:asciiTheme="minorHAnsi" w:hAnsiTheme="minorHAnsi" w:cstheme="minorHAnsi"/>
          <w:b/>
          <w:bCs/>
          <w:color w:val="538135" w:themeColor="accent6" w:themeShade="BF"/>
        </w:rPr>
        <w:t>6</w:t>
      </w:r>
      <w:r w:rsidR="00901261">
        <w:rPr>
          <w:rFonts w:asciiTheme="minorHAnsi" w:hAnsiTheme="minorHAnsi" w:cstheme="minorHAnsi"/>
          <w:b/>
          <w:bCs/>
          <w:color w:val="538135" w:themeColor="accent6" w:themeShade="BF"/>
        </w:rPr>
        <w:t>b</w:t>
      </w:r>
      <w:r w:rsidRPr="00A54900">
        <w:rPr>
          <w:rFonts w:asciiTheme="minorHAnsi" w:hAnsiTheme="minorHAnsi" w:cstheme="minorHAnsi"/>
          <w:b/>
          <w:bCs/>
          <w:color w:val="538135" w:themeColor="accent6" w:themeShade="BF"/>
        </w:rPr>
        <w:t xml:space="preserve"> overview and instructions </w:t>
      </w:r>
    </w:p>
    <w:p w14:paraId="51ABCF3F" w14:textId="77777777" w:rsidR="00260C9E" w:rsidRDefault="00260C9E" w:rsidP="00260C9E">
      <w:r>
        <w:t xml:space="preserve">Summary: </w:t>
      </w:r>
    </w:p>
    <w:tbl>
      <w:tblPr>
        <w:tblStyle w:val="TableGrid"/>
        <w:tblW w:w="0" w:type="auto"/>
        <w:tblLook w:val="04A0" w:firstRow="1" w:lastRow="0" w:firstColumn="1" w:lastColumn="0" w:noHBand="0" w:noVBand="1"/>
      </w:tblPr>
      <w:tblGrid>
        <w:gridCol w:w="2014"/>
        <w:gridCol w:w="517"/>
        <w:gridCol w:w="5453"/>
        <w:gridCol w:w="1218"/>
        <w:gridCol w:w="1254"/>
      </w:tblGrid>
      <w:tr w:rsidR="00A54900" w:rsidRPr="00A54900" w14:paraId="73EABA37" w14:textId="77777777" w:rsidTr="00D06786">
        <w:tc>
          <w:tcPr>
            <w:tcW w:w="2019" w:type="dxa"/>
          </w:tcPr>
          <w:p w14:paraId="473A91BB" w14:textId="3FF78D5D" w:rsidR="00260C9E" w:rsidRPr="00A54900" w:rsidRDefault="00260C9E" w:rsidP="00D06786">
            <w:pPr>
              <w:rPr>
                <w:b/>
                <w:bCs/>
                <w:color w:val="538135" w:themeColor="accent6" w:themeShade="BF"/>
                <w:sz w:val="24"/>
                <w:szCs w:val="24"/>
              </w:rPr>
            </w:pPr>
            <w:r w:rsidRPr="00A54900">
              <w:rPr>
                <w:b/>
                <w:bCs/>
                <w:color w:val="538135" w:themeColor="accent6" w:themeShade="BF"/>
                <w:sz w:val="24"/>
                <w:szCs w:val="24"/>
              </w:rPr>
              <w:t>Content</w:t>
            </w:r>
            <w:r w:rsidR="00A54900">
              <w:rPr>
                <w:b/>
                <w:bCs/>
                <w:color w:val="538135" w:themeColor="accent6" w:themeShade="BF"/>
                <w:sz w:val="24"/>
                <w:szCs w:val="24"/>
              </w:rPr>
              <w:t xml:space="preserve"> covered</w:t>
            </w:r>
          </w:p>
        </w:tc>
        <w:tc>
          <w:tcPr>
            <w:tcW w:w="517" w:type="dxa"/>
          </w:tcPr>
          <w:p w14:paraId="2CF597B7" w14:textId="77777777" w:rsidR="00260C9E" w:rsidRPr="00A54900" w:rsidRDefault="00260C9E" w:rsidP="00D06786">
            <w:pPr>
              <w:rPr>
                <w:b/>
                <w:bCs/>
                <w:color w:val="538135" w:themeColor="accent6" w:themeShade="BF"/>
                <w:sz w:val="24"/>
                <w:szCs w:val="24"/>
              </w:rPr>
            </w:pPr>
            <w:r w:rsidRPr="00A54900">
              <w:rPr>
                <w:b/>
                <w:bCs/>
                <w:color w:val="538135" w:themeColor="accent6" w:themeShade="BF"/>
                <w:sz w:val="24"/>
                <w:szCs w:val="24"/>
              </w:rPr>
              <w:t>ref</w:t>
            </w:r>
          </w:p>
        </w:tc>
        <w:tc>
          <w:tcPr>
            <w:tcW w:w="5475" w:type="dxa"/>
          </w:tcPr>
          <w:p w14:paraId="64CA06B8" w14:textId="77777777" w:rsidR="00260C9E" w:rsidRPr="00A54900" w:rsidRDefault="00260C9E" w:rsidP="00D06786">
            <w:pPr>
              <w:rPr>
                <w:b/>
                <w:bCs/>
                <w:color w:val="538135" w:themeColor="accent6" w:themeShade="BF"/>
                <w:sz w:val="24"/>
                <w:szCs w:val="24"/>
              </w:rPr>
            </w:pPr>
            <w:r w:rsidRPr="00A54900">
              <w:rPr>
                <w:b/>
                <w:bCs/>
                <w:color w:val="538135" w:themeColor="accent6" w:themeShade="BF"/>
                <w:sz w:val="24"/>
                <w:szCs w:val="24"/>
              </w:rPr>
              <w:t xml:space="preserve">Delivery method </w:t>
            </w:r>
          </w:p>
        </w:tc>
        <w:tc>
          <w:tcPr>
            <w:tcW w:w="1191" w:type="dxa"/>
          </w:tcPr>
          <w:p w14:paraId="3570A65F" w14:textId="77777777" w:rsidR="00260C9E" w:rsidRPr="00A54900" w:rsidRDefault="00260C9E" w:rsidP="00D06786">
            <w:pPr>
              <w:rPr>
                <w:b/>
                <w:bCs/>
                <w:color w:val="538135" w:themeColor="accent6" w:themeShade="BF"/>
                <w:sz w:val="24"/>
                <w:szCs w:val="24"/>
              </w:rPr>
            </w:pPr>
            <w:r w:rsidRPr="00A54900">
              <w:rPr>
                <w:b/>
                <w:bCs/>
                <w:color w:val="538135" w:themeColor="accent6" w:themeShade="BF"/>
                <w:sz w:val="24"/>
                <w:szCs w:val="24"/>
              </w:rPr>
              <w:t xml:space="preserve">Estimated time </w:t>
            </w:r>
          </w:p>
        </w:tc>
        <w:tc>
          <w:tcPr>
            <w:tcW w:w="1254" w:type="dxa"/>
          </w:tcPr>
          <w:p w14:paraId="3DAB6912" w14:textId="2D4D3652" w:rsidR="00260C9E" w:rsidRPr="00A54900" w:rsidRDefault="00260C9E" w:rsidP="00D06786">
            <w:pPr>
              <w:rPr>
                <w:b/>
                <w:bCs/>
                <w:color w:val="538135" w:themeColor="accent6" w:themeShade="BF"/>
                <w:sz w:val="24"/>
                <w:szCs w:val="24"/>
              </w:rPr>
            </w:pPr>
            <w:r w:rsidRPr="00A54900">
              <w:rPr>
                <w:b/>
                <w:bCs/>
                <w:color w:val="538135" w:themeColor="accent6" w:themeShade="BF"/>
                <w:sz w:val="24"/>
                <w:szCs w:val="24"/>
              </w:rPr>
              <w:t>Linked learning objectives</w:t>
            </w:r>
          </w:p>
        </w:tc>
      </w:tr>
      <w:tr w:rsidR="00F65CD2" w14:paraId="7197AC0E" w14:textId="77777777" w:rsidTr="00D06786">
        <w:tc>
          <w:tcPr>
            <w:tcW w:w="2019" w:type="dxa"/>
          </w:tcPr>
          <w:p w14:paraId="06129C00" w14:textId="1DC418ED" w:rsidR="00F65CD2" w:rsidRDefault="00FA566E" w:rsidP="00F65CD2">
            <w:pPr>
              <w:rPr>
                <w:b/>
                <w:bCs/>
              </w:rPr>
            </w:pPr>
            <w:r>
              <w:t>Next steps</w:t>
            </w:r>
          </w:p>
        </w:tc>
        <w:tc>
          <w:tcPr>
            <w:tcW w:w="517" w:type="dxa"/>
          </w:tcPr>
          <w:p w14:paraId="12F75477" w14:textId="187EE860" w:rsidR="00F65CD2" w:rsidRPr="00FA566E" w:rsidRDefault="00FA566E" w:rsidP="00F65CD2">
            <w:r w:rsidRPr="00FA566E">
              <w:t>6b</w:t>
            </w:r>
          </w:p>
        </w:tc>
        <w:tc>
          <w:tcPr>
            <w:tcW w:w="5475" w:type="dxa"/>
          </w:tcPr>
          <w:p w14:paraId="4DBD1C38" w14:textId="44DF2FDB" w:rsidR="00FA566E" w:rsidRDefault="00F65CD2" w:rsidP="00FA566E">
            <w:pPr>
              <w:rPr>
                <w:b/>
                <w:bCs/>
              </w:rPr>
            </w:pPr>
            <w:r>
              <w:t xml:space="preserve">Brief </w:t>
            </w:r>
            <w:r w:rsidR="00FA566E">
              <w:t>wrap-up</w:t>
            </w:r>
            <w:r>
              <w:t xml:space="preserve"> to </w:t>
            </w:r>
            <w:r w:rsidR="00FA566E">
              <w:t xml:space="preserve">remind people what the next steps are and how they can stay involved </w:t>
            </w:r>
          </w:p>
          <w:p w14:paraId="35701001" w14:textId="4567BE90" w:rsidR="00F65CD2" w:rsidRDefault="00F65CD2" w:rsidP="00F65CD2">
            <w:pPr>
              <w:rPr>
                <w:b/>
                <w:bCs/>
              </w:rPr>
            </w:pPr>
          </w:p>
        </w:tc>
        <w:tc>
          <w:tcPr>
            <w:tcW w:w="1191" w:type="dxa"/>
          </w:tcPr>
          <w:p w14:paraId="2722C7BD" w14:textId="5E59BA3A" w:rsidR="00F65CD2" w:rsidRDefault="00F65CD2" w:rsidP="00F65CD2">
            <w:pPr>
              <w:rPr>
                <w:b/>
                <w:bCs/>
              </w:rPr>
            </w:pPr>
            <w:r>
              <w:t>5mins</w:t>
            </w:r>
          </w:p>
        </w:tc>
        <w:tc>
          <w:tcPr>
            <w:tcW w:w="1254" w:type="dxa"/>
          </w:tcPr>
          <w:p w14:paraId="7C555B2C" w14:textId="5C1A7975" w:rsidR="00F65CD2" w:rsidRDefault="00FA566E" w:rsidP="00F65CD2">
            <w:pPr>
              <w:rPr>
                <w:b/>
                <w:bCs/>
              </w:rPr>
            </w:pPr>
            <w:r>
              <w:t xml:space="preserve">L4, </w:t>
            </w:r>
            <w:r w:rsidR="00F65CD2">
              <w:t>L5, L6</w:t>
            </w:r>
          </w:p>
        </w:tc>
      </w:tr>
    </w:tbl>
    <w:p w14:paraId="4022C344" w14:textId="77777777" w:rsidR="00851284" w:rsidRDefault="00851284"/>
    <w:p w14:paraId="2F8215E9" w14:textId="77777777" w:rsidR="00F65CD2" w:rsidRPr="00A54900" w:rsidRDefault="00F65CD2" w:rsidP="00F65CD2">
      <w:pPr>
        <w:rPr>
          <w:b/>
          <w:bCs/>
          <w:color w:val="538135" w:themeColor="accent6" w:themeShade="BF"/>
          <w:sz w:val="24"/>
          <w:szCs w:val="24"/>
        </w:rPr>
      </w:pPr>
      <w:r w:rsidRPr="00A54900">
        <w:rPr>
          <w:b/>
          <w:bCs/>
          <w:color w:val="538135" w:themeColor="accent6" w:themeShade="BF"/>
          <w:sz w:val="24"/>
          <w:szCs w:val="24"/>
        </w:rPr>
        <w:t>What do you need for this section?</w:t>
      </w:r>
    </w:p>
    <w:p w14:paraId="0E3D9604" w14:textId="769FD1B7" w:rsidR="00F65CD2" w:rsidRDefault="00F65CD2" w:rsidP="00F65CD2">
      <w:pPr>
        <w:pStyle w:val="ListParagraph"/>
        <w:numPr>
          <w:ilvl w:val="0"/>
          <w:numId w:val="2"/>
        </w:numPr>
      </w:pPr>
      <w:r>
        <w:t xml:space="preserve">A local leader who can set out how this workshop fits with the local strategic priorities. </w:t>
      </w:r>
    </w:p>
    <w:p w14:paraId="2935F1B0" w14:textId="03BA5342" w:rsidR="00A54900" w:rsidRDefault="00F65CD2" w:rsidP="00A54900">
      <w:pPr>
        <w:pStyle w:val="ListParagraph"/>
        <w:numPr>
          <w:ilvl w:val="0"/>
          <w:numId w:val="2"/>
        </w:numPr>
      </w:pPr>
      <w:r>
        <w:t xml:space="preserve">The material is something each local area needs to develop for themselves – it is up to you whether you use slides / speaking notes. Below we have suggested some points we consider it important to cover. </w:t>
      </w:r>
    </w:p>
    <w:p w14:paraId="213FE4C4" w14:textId="1E18C593" w:rsidR="00A54900" w:rsidRDefault="005E2167">
      <w:pPr>
        <w:rPr>
          <w:b/>
          <w:bCs/>
          <w:color w:val="538135" w:themeColor="accent6" w:themeShade="BF"/>
          <w:sz w:val="24"/>
          <w:szCs w:val="24"/>
        </w:rPr>
      </w:pPr>
      <w:r>
        <w:rPr>
          <w:noProof/>
        </w:rPr>
        <w:drawing>
          <wp:anchor distT="0" distB="0" distL="114300" distR="114300" simplePos="0" relativeHeight="251659264" behindDoc="0" locked="0" layoutInCell="1" allowOverlap="1" wp14:anchorId="7ED70280" wp14:editId="37604D87">
            <wp:simplePos x="0" y="0"/>
            <wp:positionH relativeFrom="margin">
              <wp:align>left</wp:align>
            </wp:positionH>
            <wp:positionV relativeFrom="paragraph">
              <wp:posOffset>122555</wp:posOffset>
            </wp:positionV>
            <wp:extent cx="720000" cy="720000"/>
            <wp:effectExtent l="0" t="0" r="4445" b="0"/>
            <wp:wrapSquare wrapText="bothSides"/>
            <wp:docPr id="1" name="Graphic 1" descr="Postit Not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ostit Notes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p>
    <w:p w14:paraId="1D8A9100" w14:textId="0796B438" w:rsidR="00A54900" w:rsidRPr="00A54900" w:rsidRDefault="00A54900">
      <w:pPr>
        <w:rPr>
          <w:rStyle w:val="Emphasis"/>
          <w:i w:val="0"/>
          <w:iCs w:val="0"/>
          <w:color w:val="70AD47" w:themeColor="accent6"/>
        </w:rPr>
      </w:pPr>
      <w:bookmarkStart w:id="0" w:name="_Hlk161567982"/>
      <w:r w:rsidRPr="00A54900">
        <w:rPr>
          <w:rStyle w:val="Emphasis"/>
          <w:i w:val="0"/>
          <w:iCs w:val="0"/>
          <w:color w:val="70AD47" w:themeColor="accent6"/>
        </w:rPr>
        <w:t>A key tip from the trials was</w:t>
      </w:r>
      <w:bookmarkEnd w:id="0"/>
      <w:r w:rsidRPr="00A54900">
        <w:rPr>
          <w:rStyle w:val="Emphasis"/>
          <w:i w:val="0"/>
          <w:iCs w:val="0"/>
          <w:color w:val="70AD47" w:themeColor="accent6"/>
        </w:rPr>
        <w:t xml:space="preserve"> that having a local leader such as the DPH to do this </w:t>
      </w:r>
      <w:r w:rsidR="00FA566E">
        <w:rPr>
          <w:rStyle w:val="Emphasis"/>
          <w:i w:val="0"/>
          <w:iCs w:val="0"/>
          <w:color w:val="70AD47" w:themeColor="accent6"/>
        </w:rPr>
        <w:t>wrap-up</w:t>
      </w:r>
      <w:r w:rsidRPr="00A54900">
        <w:rPr>
          <w:rStyle w:val="Emphasis"/>
          <w:i w:val="0"/>
          <w:iCs w:val="0"/>
          <w:color w:val="70AD47" w:themeColor="accent6"/>
        </w:rPr>
        <w:t xml:space="preserve"> demonstrated commitment to the agenda and helped underline its importance. </w:t>
      </w:r>
    </w:p>
    <w:p w14:paraId="0400C221" w14:textId="77777777" w:rsidR="00A54900" w:rsidRDefault="00A54900">
      <w:pPr>
        <w:rPr>
          <w:b/>
          <w:bCs/>
          <w:color w:val="538135" w:themeColor="accent6" w:themeShade="BF"/>
          <w:sz w:val="24"/>
          <w:szCs w:val="24"/>
        </w:rPr>
      </w:pPr>
    </w:p>
    <w:p w14:paraId="5604A8D7" w14:textId="67E980D8" w:rsidR="00A54900" w:rsidRPr="00A54900" w:rsidRDefault="00A54900">
      <w:pPr>
        <w:rPr>
          <w:b/>
          <w:bCs/>
          <w:color w:val="538135" w:themeColor="accent6" w:themeShade="BF"/>
          <w:sz w:val="24"/>
          <w:szCs w:val="24"/>
        </w:rPr>
      </w:pPr>
      <w:r w:rsidRPr="00A54900">
        <w:rPr>
          <w:b/>
          <w:bCs/>
          <w:color w:val="538135" w:themeColor="accent6" w:themeShade="BF"/>
          <w:sz w:val="24"/>
          <w:szCs w:val="24"/>
        </w:rPr>
        <w:t xml:space="preserve">Points to cover: </w:t>
      </w:r>
    </w:p>
    <w:p w14:paraId="4D2D0D12" w14:textId="46167C37" w:rsidR="00A54900" w:rsidRDefault="00FA566E" w:rsidP="00A54900">
      <w:pPr>
        <w:pStyle w:val="ListParagraph"/>
        <w:numPr>
          <w:ilvl w:val="0"/>
          <w:numId w:val="3"/>
        </w:numPr>
      </w:pPr>
      <w:r>
        <w:t xml:space="preserve">Remind people </w:t>
      </w:r>
      <w:r w:rsidR="00A54900">
        <w:t xml:space="preserve">explicitly how this session </w:t>
      </w:r>
      <w:r>
        <w:t>is expected to</w:t>
      </w:r>
      <w:r w:rsidR="00A54900">
        <w:t xml:space="preserve"> contribute to action </w:t>
      </w:r>
      <w:r>
        <w:t>(as one piece in a larger puzzle)</w:t>
      </w:r>
    </w:p>
    <w:p w14:paraId="0E926730" w14:textId="4E51341F" w:rsidR="00A54900" w:rsidRDefault="00A54900" w:rsidP="00A54900">
      <w:pPr>
        <w:pStyle w:val="ListParagraph"/>
        <w:numPr>
          <w:ilvl w:val="0"/>
          <w:numId w:val="3"/>
        </w:numPr>
      </w:pPr>
      <w:r>
        <w:t xml:space="preserve">State what will happen next and how people can stay involved. </w:t>
      </w:r>
    </w:p>
    <w:p w14:paraId="77C59C74" w14:textId="67A81DC0" w:rsidR="00F65CD2" w:rsidRDefault="00F65CD2">
      <w:r>
        <w:t>Below is an example:</w:t>
      </w:r>
    </w:p>
    <w:p w14:paraId="4281E23A" w14:textId="77777777" w:rsidR="00FA566E" w:rsidRDefault="00A54900" w:rsidP="00F65CD2">
      <w:pPr>
        <w:pStyle w:val="ListParagraph"/>
        <w:numPr>
          <w:ilvl w:val="0"/>
          <w:numId w:val="1"/>
        </w:numPr>
      </w:pPr>
      <w:r>
        <w:t xml:space="preserve">By attending this session, we </w:t>
      </w:r>
      <w:r w:rsidR="00FA566E">
        <w:t>have started</w:t>
      </w:r>
      <w:r>
        <w:t xml:space="preserve"> on a journey. </w:t>
      </w:r>
    </w:p>
    <w:p w14:paraId="3622B01F" w14:textId="77777777" w:rsidR="00FA566E" w:rsidRDefault="00FA566E" w:rsidP="00F65CD2">
      <w:pPr>
        <w:pStyle w:val="ListParagraph"/>
        <w:numPr>
          <w:ilvl w:val="0"/>
          <w:numId w:val="1"/>
        </w:numPr>
      </w:pPr>
      <w:r>
        <w:t>Hopefully, t</w:t>
      </w:r>
      <w:r w:rsidR="00A54900">
        <w:t xml:space="preserve">oday we </w:t>
      </w:r>
      <w:r>
        <w:t>have</w:t>
      </w:r>
      <w:r w:rsidR="00A54900">
        <w:t xml:space="preserve"> all deepen</w:t>
      </w:r>
      <w:r>
        <w:t>ed</w:t>
      </w:r>
      <w:r w:rsidR="00A54900">
        <w:t xml:space="preserve"> our </w:t>
      </w:r>
      <w:r w:rsidR="00A54900" w:rsidRPr="006A63E6">
        <w:t>understand</w:t>
      </w:r>
      <w:r w:rsidR="00A54900">
        <w:t>ing of the commercial determinants of health</w:t>
      </w:r>
      <w:r>
        <w:t xml:space="preserve"> including hearing about example</w:t>
      </w:r>
      <w:r w:rsidR="00A54900">
        <w:t xml:space="preserve">s of action </w:t>
      </w:r>
    </w:p>
    <w:p w14:paraId="5E5A20E3" w14:textId="3A38DA5E" w:rsidR="00A54900" w:rsidRDefault="00FA566E" w:rsidP="00F65CD2">
      <w:pPr>
        <w:pStyle w:val="ListParagraph"/>
        <w:numPr>
          <w:ilvl w:val="0"/>
          <w:numId w:val="1"/>
        </w:numPr>
      </w:pPr>
      <w:r>
        <w:t>We have</w:t>
      </w:r>
      <w:r w:rsidR="00A54900">
        <w:t xml:space="preserve"> start</w:t>
      </w:r>
      <w:r>
        <w:t>ed</w:t>
      </w:r>
      <w:r w:rsidR="00A54900">
        <w:t xml:space="preserve"> to think about how we can prevent and reduce the harms caused and increase benefits to health. </w:t>
      </w:r>
    </w:p>
    <w:p w14:paraId="4B8231A8" w14:textId="15823CA9" w:rsidR="00A54900" w:rsidRDefault="00A54900" w:rsidP="005E2167">
      <w:pPr>
        <w:pStyle w:val="ListParagraph"/>
        <w:numPr>
          <w:ilvl w:val="0"/>
          <w:numId w:val="1"/>
        </w:numPr>
      </w:pPr>
      <w:r>
        <w:t>This is just the star</w:t>
      </w:r>
      <w:r w:rsidR="00B22A4C">
        <w:t xml:space="preserve">t. One session will not be enough to achieve our ambitions. But if all of us today can start to use our increased understanding of the commercial determinants of health in our practice, that will be the start of a local movement. </w:t>
      </w:r>
      <w:r w:rsidR="005E2167" w:rsidRPr="005E2167">
        <w:rPr>
          <w:highlight w:val="lightGray"/>
        </w:rPr>
        <w:t>[</w:t>
      </w:r>
      <w:r w:rsidR="005E2167" w:rsidRPr="005E2167">
        <w:rPr>
          <w:highlight w:val="lightGray"/>
        </w:rPr>
        <w:t>consider talking about the story of Tobacco Control to</w:t>
      </w:r>
      <w:r w:rsidR="005E2167" w:rsidRPr="005E2167">
        <w:rPr>
          <w:highlight w:val="lightGray"/>
        </w:rPr>
        <w:t xml:space="preserve"> indicate grounds for hope in working together –</w:t>
      </w:r>
      <w:r w:rsidR="005E2167" w:rsidRPr="005E2167">
        <w:rPr>
          <w:highlight w:val="lightGray"/>
        </w:rPr>
        <w:t xml:space="preserve"> help people think about</w:t>
      </w:r>
      <w:r w:rsidR="005E2167" w:rsidRPr="005E2167">
        <w:rPr>
          <w:highlight w:val="lightGray"/>
        </w:rPr>
        <w:t xml:space="preserve"> the bigger battle and the big</w:t>
      </w:r>
      <w:r w:rsidR="005E2167" w:rsidRPr="005E2167">
        <w:rPr>
          <w:highlight w:val="lightGray"/>
        </w:rPr>
        <w:t>ger</w:t>
      </w:r>
      <w:r w:rsidR="005E2167" w:rsidRPr="005E2167">
        <w:rPr>
          <w:highlight w:val="lightGray"/>
        </w:rPr>
        <w:t xml:space="preserve"> story about possibility</w:t>
      </w:r>
      <w:r w:rsidR="005E2167" w:rsidRPr="005E2167">
        <w:rPr>
          <w:highlight w:val="lightGray"/>
        </w:rPr>
        <w:t>, for example how do we stay focused and determined despite setbacks, how do we e</w:t>
      </w:r>
      <w:r w:rsidR="005E2167" w:rsidRPr="005E2167">
        <w:rPr>
          <w:highlight w:val="lightGray"/>
        </w:rPr>
        <w:t xml:space="preserve">mbrace </w:t>
      </w:r>
      <w:r w:rsidR="005E2167" w:rsidRPr="005E2167">
        <w:rPr>
          <w:highlight w:val="lightGray"/>
        </w:rPr>
        <w:t xml:space="preserve">learning from </w:t>
      </w:r>
      <w:r w:rsidR="005E2167" w:rsidRPr="005E2167">
        <w:rPr>
          <w:highlight w:val="lightGray"/>
        </w:rPr>
        <w:t>failure</w:t>
      </w:r>
      <w:r w:rsidR="005E2167" w:rsidRPr="005E2167">
        <w:rPr>
          <w:highlight w:val="lightGray"/>
        </w:rPr>
        <w:t>s, where can we f</w:t>
      </w:r>
      <w:r w:rsidR="005E2167" w:rsidRPr="005E2167">
        <w:rPr>
          <w:highlight w:val="lightGray"/>
        </w:rPr>
        <w:t>ind allies</w:t>
      </w:r>
      <w:r w:rsidR="005E2167" w:rsidRPr="005E2167">
        <w:rPr>
          <w:highlight w:val="lightGray"/>
        </w:rPr>
        <w:t>, how can we k</w:t>
      </w:r>
      <w:r w:rsidR="005E2167" w:rsidRPr="005E2167">
        <w:rPr>
          <w:highlight w:val="lightGray"/>
        </w:rPr>
        <w:t>eep talking</w:t>
      </w:r>
      <w:r w:rsidR="005E2167" w:rsidRPr="005E2167">
        <w:rPr>
          <w:highlight w:val="lightGray"/>
        </w:rPr>
        <w:t xml:space="preserve"> about the issue</w:t>
      </w:r>
      <w:r w:rsidR="005E2167" w:rsidRPr="005E2167">
        <w:rPr>
          <w:highlight w:val="lightGray"/>
        </w:rPr>
        <w:t>]</w:t>
      </w:r>
      <w:r w:rsidR="005E2167">
        <w:t xml:space="preserve">.  </w:t>
      </w:r>
    </w:p>
    <w:p w14:paraId="1A3E30F9" w14:textId="73FA8525" w:rsidR="001B7328" w:rsidRDefault="001B7328" w:rsidP="00F65CD2">
      <w:pPr>
        <w:pStyle w:val="ListParagraph"/>
        <w:numPr>
          <w:ilvl w:val="0"/>
          <w:numId w:val="1"/>
        </w:numPr>
      </w:pPr>
      <w:r>
        <w:t xml:space="preserve">We need to go beyond talking to make a difference. Our expectations are </w:t>
      </w:r>
      <w:r w:rsidRPr="001B7328">
        <w:rPr>
          <w:highlight w:val="lightGray"/>
        </w:rPr>
        <w:t>[include individual and collective expectations, for example</w:t>
      </w:r>
      <w:r w:rsidR="005E2167">
        <w:rPr>
          <w:highlight w:val="lightGray"/>
        </w:rPr>
        <w:t xml:space="preserve"> an individual expectation might be</w:t>
      </w:r>
      <w:r w:rsidRPr="001B7328">
        <w:rPr>
          <w:highlight w:val="lightGray"/>
        </w:rPr>
        <w:t xml:space="preserve"> that everyone starts to consider their work with a CDoH lens</w:t>
      </w:r>
      <w:r w:rsidR="005E2167">
        <w:rPr>
          <w:highlight w:val="lightGray"/>
        </w:rPr>
        <w:t xml:space="preserve"> and using the </w:t>
      </w:r>
      <w:r w:rsidR="005E2167" w:rsidRPr="005E2167">
        <w:rPr>
          <w:color w:val="70AD47" w:themeColor="accent6"/>
          <w:highlight w:val="lightGray"/>
        </w:rPr>
        <w:t xml:space="preserve">‘ideas for action’ </w:t>
      </w:r>
      <w:r w:rsidR="005E2167">
        <w:rPr>
          <w:highlight w:val="lightGray"/>
        </w:rPr>
        <w:t>handout</w:t>
      </w:r>
      <w:r w:rsidRPr="001B7328">
        <w:rPr>
          <w:highlight w:val="lightGray"/>
        </w:rPr>
        <w:t xml:space="preserve">, </w:t>
      </w:r>
      <w:r w:rsidR="005E2167">
        <w:rPr>
          <w:highlight w:val="lightGray"/>
        </w:rPr>
        <w:t xml:space="preserve">make sure you also </w:t>
      </w:r>
      <w:r w:rsidRPr="001B7328">
        <w:rPr>
          <w:highlight w:val="lightGray"/>
        </w:rPr>
        <w:t>set out your collective next steps]</w:t>
      </w:r>
      <w:r>
        <w:t>.</w:t>
      </w:r>
    </w:p>
    <w:p w14:paraId="32785A99" w14:textId="03151625" w:rsidR="00B22A4C" w:rsidRPr="005E2167" w:rsidRDefault="00B22A4C" w:rsidP="00A54900">
      <w:pPr>
        <w:pStyle w:val="ListParagraph"/>
        <w:numPr>
          <w:ilvl w:val="0"/>
          <w:numId w:val="1"/>
        </w:numPr>
      </w:pPr>
      <w:r>
        <w:t xml:space="preserve">Please stay involved after today: </w:t>
      </w:r>
      <w:r w:rsidRPr="00B22A4C">
        <w:rPr>
          <w:highlight w:val="lightGray"/>
        </w:rPr>
        <w:t>[add in details about what is going to happen next and how people can stay involved]</w:t>
      </w:r>
      <w:r>
        <w:t xml:space="preserve">. </w:t>
      </w:r>
    </w:p>
    <w:p w14:paraId="52F4F718" w14:textId="5AFF2A42" w:rsidR="0099160D" w:rsidRDefault="005E2167" w:rsidP="00A54900">
      <w:pPr>
        <w:rPr>
          <w:color w:val="70AD47" w:themeColor="accent6"/>
        </w:rPr>
      </w:pPr>
      <w:r w:rsidRPr="00B22A4C">
        <w:rPr>
          <w:noProof/>
        </w:rPr>
        <w:drawing>
          <wp:anchor distT="0" distB="0" distL="114300" distR="114300" simplePos="0" relativeHeight="251661312" behindDoc="0" locked="0" layoutInCell="1" allowOverlap="1" wp14:anchorId="47EAF121" wp14:editId="0A051540">
            <wp:simplePos x="0" y="0"/>
            <wp:positionH relativeFrom="margin">
              <wp:align>left</wp:align>
            </wp:positionH>
            <wp:positionV relativeFrom="paragraph">
              <wp:posOffset>17145</wp:posOffset>
            </wp:positionV>
            <wp:extent cx="720000" cy="720000"/>
            <wp:effectExtent l="0" t="0" r="4445" b="0"/>
            <wp:wrapSquare wrapText="bothSides"/>
            <wp:docPr id="2" name="Graphic 2" descr="Postit Not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ostit Notes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r w:rsidR="00B22A4C">
        <w:rPr>
          <w:noProof/>
          <w:color w:val="70AD47" w:themeColor="accent6"/>
        </w:rPr>
        <w:t>A key tip from the trials was: be</w:t>
      </w:r>
      <w:r w:rsidR="00A54900" w:rsidRPr="00B22A4C">
        <w:rPr>
          <w:color w:val="70AD47" w:themeColor="accent6"/>
        </w:rPr>
        <w:t xml:space="preserve"> clear and explicit that </w:t>
      </w:r>
      <w:r w:rsidR="00B22A4C">
        <w:rPr>
          <w:color w:val="70AD47" w:themeColor="accent6"/>
        </w:rPr>
        <w:t xml:space="preserve">we don’t yet have all the solutions, </w:t>
      </w:r>
      <w:r w:rsidR="0099160D">
        <w:rPr>
          <w:color w:val="70AD47" w:themeColor="accent6"/>
        </w:rPr>
        <w:t xml:space="preserve">there isn’t a guide people can just follow. </w:t>
      </w:r>
    </w:p>
    <w:p w14:paraId="3BF12D36" w14:textId="7342533F" w:rsidR="0099160D" w:rsidRPr="00B22A4C" w:rsidRDefault="0099160D" w:rsidP="00A54900">
      <w:pPr>
        <w:rPr>
          <w:color w:val="70AD47" w:themeColor="accent6"/>
        </w:rPr>
      </w:pPr>
      <w:r>
        <w:rPr>
          <w:color w:val="70AD47" w:themeColor="accent6"/>
        </w:rPr>
        <w:t>However, e</w:t>
      </w:r>
      <w:r w:rsidRPr="0099160D">
        <w:rPr>
          <w:color w:val="70AD47" w:themeColor="accent6"/>
        </w:rPr>
        <w:t xml:space="preserve">ncourage people to recognise they can be at the forefront of creating </w:t>
      </w:r>
      <w:r w:rsidR="00A54900" w:rsidRPr="00B22A4C">
        <w:rPr>
          <w:color w:val="70AD47" w:themeColor="accent6"/>
        </w:rPr>
        <w:t xml:space="preserve">best practice </w:t>
      </w:r>
      <w:r w:rsidR="00B22A4C">
        <w:rPr>
          <w:color w:val="70AD47" w:themeColor="accent6"/>
        </w:rPr>
        <w:t>–</w:t>
      </w:r>
      <w:r w:rsidR="00A54900" w:rsidRPr="00B22A4C">
        <w:rPr>
          <w:color w:val="70AD47" w:themeColor="accent6"/>
        </w:rPr>
        <w:t xml:space="preserve"> </w:t>
      </w:r>
      <w:r w:rsidR="00B22A4C">
        <w:rPr>
          <w:color w:val="70AD47" w:themeColor="accent6"/>
        </w:rPr>
        <w:t xml:space="preserve">encourage people to network with other areas. </w:t>
      </w:r>
    </w:p>
    <w:p w14:paraId="4700487B" w14:textId="70E96FC5" w:rsidR="00A54900" w:rsidRPr="00A54900" w:rsidRDefault="00A54900" w:rsidP="00A54900">
      <w:pPr>
        <w:tabs>
          <w:tab w:val="left" w:pos="4470"/>
        </w:tabs>
      </w:pPr>
      <w:r>
        <w:tab/>
      </w:r>
    </w:p>
    <w:sectPr w:rsidR="00A54900" w:rsidRPr="00A54900" w:rsidSect="00F65CD2">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CBAA2" w14:textId="77777777" w:rsidR="0012238D" w:rsidRDefault="0012238D" w:rsidP="003B6C66">
      <w:pPr>
        <w:spacing w:after="0" w:line="240" w:lineRule="auto"/>
      </w:pPr>
      <w:r>
        <w:separator/>
      </w:r>
    </w:p>
  </w:endnote>
  <w:endnote w:type="continuationSeparator" w:id="0">
    <w:p w14:paraId="433B0D3E" w14:textId="77777777" w:rsidR="0012238D" w:rsidRDefault="0012238D" w:rsidP="003B6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F46C" w14:textId="7C10604D" w:rsidR="003B6C66" w:rsidRDefault="00A54900">
    <w:pPr>
      <w:pStyle w:val="Footer"/>
    </w:pPr>
    <w:r>
      <w:rPr>
        <w:noProof/>
      </w:rPr>
      <w:drawing>
        <wp:anchor distT="0" distB="0" distL="114300" distR="114300" simplePos="0" relativeHeight="251661312" behindDoc="0" locked="0" layoutInCell="1" allowOverlap="1" wp14:anchorId="0F75D13D" wp14:editId="2C4C0C13">
          <wp:simplePos x="0" y="0"/>
          <wp:positionH relativeFrom="margin">
            <wp:posOffset>-133350</wp:posOffset>
          </wp:positionH>
          <wp:positionV relativeFrom="paragraph">
            <wp:posOffset>161290</wp:posOffset>
          </wp:positionV>
          <wp:extent cx="466725" cy="466725"/>
          <wp:effectExtent l="0" t="0" r="0" b="9525"/>
          <wp:wrapNone/>
          <wp:docPr id="4" name="Graphic 4" descr="Gea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Gears with solid fill"/>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6725" cy="4667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DCEA4C1" wp14:editId="6B36B1B3">
          <wp:simplePos x="0" y="0"/>
          <wp:positionH relativeFrom="margin">
            <wp:posOffset>-323215</wp:posOffset>
          </wp:positionH>
          <wp:positionV relativeFrom="paragraph">
            <wp:posOffset>19050</wp:posOffset>
          </wp:positionV>
          <wp:extent cx="457200" cy="457200"/>
          <wp:effectExtent l="0" t="0" r="0" b="0"/>
          <wp:wrapNone/>
          <wp:docPr id="5" name="Graphic 5" descr="Single ge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ingle gear with solid fill"/>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6F4C72C6" wp14:editId="6279F842">
              <wp:simplePos x="0" y="0"/>
              <wp:positionH relativeFrom="column">
                <wp:posOffset>-447675</wp:posOffset>
              </wp:positionH>
              <wp:positionV relativeFrom="paragraph">
                <wp:posOffset>0</wp:posOffset>
              </wp:positionV>
              <wp:extent cx="7534275" cy="619125"/>
              <wp:effectExtent l="0" t="0" r="9525" b="9525"/>
              <wp:wrapNone/>
              <wp:docPr id="3" name="Rectangle 3"/>
              <wp:cNvGraphicFramePr/>
              <a:graphic xmlns:a="http://schemas.openxmlformats.org/drawingml/2006/main">
                <a:graphicData uri="http://schemas.microsoft.com/office/word/2010/wordprocessingShape">
                  <wps:wsp>
                    <wps:cNvSpPr/>
                    <wps:spPr>
                      <a:xfrm>
                        <a:off x="0" y="0"/>
                        <a:ext cx="7534275" cy="619125"/>
                      </a:xfrm>
                      <a:prstGeom prst="rect">
                        <a:avLst/>
                      </a:prstGeom>
                      <a:solidFill>
                        <a:schemeClr val="accent6">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C1443D5" w14:textId="77777777" w:rsidR="00A54900" w:rsidRPr="008260BB" w:rsidRDefault="00A54900" w:rsidP="00A54900">
                          <w:pPr>
                            <w:jc w:val="right"/>
                            <w:rPr>
                              <w:color w:val="538135" w:themeColor="accent6" w:themeShade="BF"/>
                            </w:rPr>
                          </w:pPr>
                          <w:bookmarkStart w:id="1" w:name="_Hlk161151532"/>
                          <w:bookmarkStart w:id="2" w:name="_Hlk161151533"/>
                          <w:r w:rsidRPr="008260BB">
                            <w:rPr>
                              <w:color w:val="538135" w:themeColor="accent6" w:themeShade="BF"/>
                            </w:rPr>
                            <w:t>This document is part of CDoH Essentials (2024) Brook et al</w:t>
                          </w:r>
                          <w:bookmarkEnd w:id="1"/>
                          <w:bookmarkEnd w:id="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4C72C6" id="Rectangle 3" o:spid="_x0000_s1026" style="position:absolute;margin-left:-35.25pt;margin-top:0;width:593.25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" fillcolor="#e2efd9 [665]" stroked="f" strokeweight="1pt">
              <v:textbox>
                <w:txbxContent>
                  <w:p w14:paraId="6C1443D5" w14:textId="77777777" w:rsidR="00A54900" w:rsidRPr="008260BB" w:rsidRDefault="00A54900" w:rsidP="00A54900">
                    <w:pPr>
                      <w:jc w:val="right"/>
                      <w:rPr>
                        <w:color w:val="538135" w:themeColor="accent6" w:themeShade="BF"/>
                      </w:rPr>
                    </w:pPr>
                    <w:bookmarkStart w:id="4" w:name="_Hlk161151532"/>
                    <w:bookmarkStart w:id="5" w:name="_Hlk161151533"/>
                    <w:r w:rsidRPr="008260BB">
                      <w:rPr>
                        <w:color w:val="538135" w:themeColor="accent6" w:themeShade="BF"/>
                      </w:rPr>
                      <w:t>This document is part of CDoH Essentials (2024) Brook et al</w:t>
                    </w:r>
                    <w:bookmarkEnd w:id="4"/>
                    <w:bookmarkEnd w:id="5"/>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7354B" w14:textId="77777777" w:rsidR="0012238D" w:rsidRDefault="0012238D" w:rsidP="003B6C66">
      <w:pPr>
        <w:spacing w:after="0" w:line="240" w:lineRule="auto"/>
      </w:pPr>
      <w:r>
        <w:separator/>
      </w:r>
    </w:p>
  </w:footnote>
  <w:footnote w:type="continuationSeparator" w:id="0">
    <w:p w14:paraId="1173847C" w14:textId="77777777" w:rsidR="0012238D" w:rsidRDefault="0012238D" w:rsidP="003B6C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355C5"/>
    <w:multiLevelType w:val="hybridMultilevel"/>
    <w:tmpl w:val="6262E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7618C2"/>
    <w:multiLevelType w:val="hybridMultilevel"/>
    <w:tmpl w:val="EC6C9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875515"/>
    <w:multiLevelType w:val="hybridMultilevel"/>
    <w:tmpl w:val="845E9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9868479">
    <w:abstractNumId w:val="0"/>
  </w:num>
  <w:num w:numId="2" w16cid:durableId="1995991850">
    <w:abstractNumId w:val="2"/>
  </w:num>
  <w:num w:numId="3" w16cid:durableId="1094277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C9E"/>
    <w:rsid w:val="000D2320"/>
    <w:rsid w:val="0012238D"/>
    <w:rsid w:val="001954A6"/>
    <w:rsid w:val="001B7328"/>
    <w:rsid w:val="00260C9E"/>
    <w:rsid w:val="003B6C66"/>
    <w:rsid w:val="004C6F29"/>
    <w:rsid w:val="005E2167"/>
    <w:rsid w:val="006542FD"/>
    <w:rsid w:val="00727494"/>
    <w:rsid w:val="00851284"/>
    <w:rsid w:val="008B56AA"/>
    <w:rsid w:val="00901261"/>
    <w:rsid w:val="0099160D"/>
    <w:rsid w:val="00A54900"/>
    <w:rsid w:val="00B22A4C"/>
    <w:rsid w:val="00B63A7E"/>
    <w:rsid w:val="00E900B2"/>
    <w:rsid w:val="00F65CD2"/>
    <w:rsid w:val="00F8201E"/>
    <w:rsid w:val="00FA566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5B300"/>
  <w15:chartTrackingRefBased/>
  <w15:docId w15:val="{1C36D1AC-0C96-4BD6-813A-8855FBC90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C9E"/>
    <w:rPr>
      <w:rFonts w:eastAsiaTheme="minorEastAsia"/>
      <w:kern w:val="0"/>
      <w:lang w:eastAsia="zh-CN"/>
      <w14:ligatures w14:val="none"/>
    </w:rPr>
  </w:style>
  <w:style w:type="paragraph" w:styleId="Heading1">
    <w:name w:val="heading 1"/>
    <w:basedOn w:val="Normal"/>
    <w:next w:val="Normal"/>
    <w:link w:val="Heading1Char"/>
    <w:uiPriority w:val="9"/>
    <w:qFormat/>
    <w:rsid w:val="00260C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C9E"/>
    <w:rPr>
      <w:rFonts w:asciiTheme="majorHAnsi" w:eastAsiaTheme="majorEastAsia" w:hAnsiTheme="majorHAnsi" w:cstheme="majorBidi"/>
      <w:color w:val="2F5496" w:themeColor="accent1" w:themeShade="BF"/>
      <w:kern w:val="0"/>
      <w:sz w:val="32"/>
      <w:szCs w:val="32"/>
      <w:lang w:eastAsia="zh-CN"/>
      <w14:ligatures w14:val="none"/>
    </w:rPr>
  </w:style>
  <w:style w:type="table" w:styleId="TableGrid">
    <w:name w:val="Table Grid"/>
    <w:basedOn w:val="TableNormal"/>
    <w:uiPriority w:val="39"/>
    <w:rsid w:val="00260C9E"/>
    <w:pPr>
      <w:spacing w:after="0" w:line="240" w:lineRule="auto"/>
    </w:pPr>
    <w:rPr>
      <w:rFonts w:eastAsiaTheme="minorEastAsia"/>
      <w:kern w:val="0"/>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CD2"/>
    <w:pPr>
      <w:ind w:left="720"/>
      <w:contextualSpacing/>
    </w:pPr>
  </w:style>
  <w:style w:type="character" w:styleId="Hyperlink">
    <w:name w:val="Hyperlink"/>
    <w:basedOn w:val="DefaultParagraphFont"/>
    <w:uiPriority w:val="99"/>
    <w:unhideWhenUsed/>
    <w:rsid w:val="00F65CD2"/>
    <w:rPr>
      <w:color w:val="0563C1" w:themeColor="hyperlink"/>
      <w:u w:val="single"/>
    </w:rPr>
  </w:style>
  <w:style w:type="character" w:styleId="UnresolvedMention">
    <w:name w:val="Unresolved Mention"/>
    <w:basedOn w:val="DefaultParagraphFont"/>
    <w:uiPriority w:val="99"/>
    <w:semiHidden/>
    <w:unhideWhenUsed/>
    <w:rsid w:val="00F65CD2"/>
    <w:rPr>
      <w:color w:val="605E5C"/>
      <w:shd w:val="clear" w:color="auto" w:fill="E1DFDD"/>
    </w:rPr>
  </w:style>
  <w:style w:type="paragraph" w:styleId="Header">
    <w:name w:val="header"/>
    <w:basedOn w:val="Normal"/>
    <w:link w:val="HeaderChar"/>
    <w:uiPriority w:val="99"/>
    <w:unhideWhenUsed/>
    <w:rsid w:val="003B6C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C66"/>
    <w:rPr>
      <w:rFonts w:eastAsiaTheme="minorEastAsia"/>
      <w:kern w:val="0"/>
      <w:lang w:eastAsia="zh-CN"/>
      <w14:ligatures w14:val="none"/>
    </w:rPr>
  </w:style>
  <w:style w:type="paragraph" w:styleId="Footer">
    <w:name w:val="footer"/>
    <w:basedOn w:val="Normal"/>
    <w:link w:val="FooterChar"/>
    <w:uiPriority w:val="99"/>
    <w:unhideWhenUsed/>
    <w:rsid w:val="003B6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C66"/>
    <w:rPr>
      <w:rFonts w:eastAsiaTheme="minorEastAsia"/>
      <w:kern w:val="0"/>
      <w:lang w:eastAsia="zh-CN"/>
      <w14:ligatures w14:val="none"/>
    </w:rPr>
  </w:style>
  <w:style w:type="character" w:styleId="Emphasis">
    <w:name w:val="Emphasis"/>
    <w:basedOn w:val="DefaultParagraphFont"/>
    <w:uiPriority w:val="20"/>
    <w:qFormat/>
    <w:rsid w:val="00A549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image" Target="media/image6.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Brook</dc:creator>
  <cp:keywords/>
  <dc:description/>
  <cp:lastModifiedBy>Anna Brook</cp:lastModifiedBy>
  <cp:revision>7</cp:revision>
  <dcterms:created xsi:type="dcterms:W3CDTF">2024-03-17T15:04:00Z</dcterms:created>
  <dcterms:modified xsi:type="dcterms:W3CDTF">2024-03-17T16:45:00Z</dcterms:modified>
</cp:coreProperties>
</file>