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2E8C" w14:textId="77777777" w:rsidR="00A25F4E" w:rsidRPr="00FF03BB" w:rsidRDefault="00A25F4E" w:rsidP="00FF03BB">
      <w:pPr>
        <w:pStyle w:val="Heading1"/>
        <w:rPr>
          <w:color w:val="538135" w:themeColor="accent6" w:themeShade="BF"/>
        </w:rPr>
      </w:pPr>
      <w:r w:rsidRPr="00FF03BB">
        <w:rPr>
          <w:color w:val="538135" w:themeColor="accent6" w:themeShade="BF"/>
        </w:rPr>
        <w:t xml:space="preserve">Case study options </w:t>
      </w:r>
    </w:p>
    <w:p w14:paraId="683484A1" w14:textId="77777777" w:rsidR="00A25F4E" w:rsidRDefault="00A25F4E">
      <w:r>
        <w:t xml:space="preserve">The case studies in this pack are intended for use with the exercise set out in 5c in the options pack. </w:t>
      </w:r>
    </w:p>
    <w:p w14:paraId="23CAC58F" w14:textId="12FC7203" w:rsidR="00A25F4E" w:rsidRDefault="00A25F4E">
      <w:r>
        <w:t>Case studies in this pack include different health issues, risk factors for poor health and different public health approaches to addressing the health harms from the Commercial Determinants of Health as well as some of the barriers faced (including commercial practices).</w:t>
      </w:r>
    </w:p>
    <w:p w14:paraId="06AD1A4E" w14:textId="7629CEAF" w:rsidR="001E28DE" w:rsidRDefault="001E28DE"/>
    <w:p w14:paraId="238C186C" w14:textId="77777777" w:rsidR="009F62A6" w:rsidRDefault="001E28DE">
      <w:bookmarkStart w:id="0" w:name="_Hlk157088025"/>
      <w:r>
        <w:t xml:space="preserve">Additional case studies could be </w:t>
      </w:r>
      <w:r w:rsidR="009F62A6">
        <w:t xml:space="preserve">developed using local experience or published examples. There are some examples </w:t>
      </w:r>
      <w:bookmarkStart w:id="1" w:name="_Hlk157088012"/>
      <w:r w:rsidR="009F62A6">
        <w:t>of local authority action in:</w:t>
      </w:r>
    </w:p>
    <w:p w14:paraId="79D247EC" w14:textId="77777777" w:rsidR="009F62A6" w:rsidRPr="009F62A6" w:rsidRDefault="009F62A6" w:rsidP="009F62A6">
      <w:pPr>
        <w:pStyle w:val="ListParagraph"/>
        <w:numPr>
          <w:ilvl w:val="0"/>
          <w:numId w:val="6"/>
        </w:numPr>
        <w:rPr>
          <w:rFonts w:asciiTheme="majorHAnsi" w:eastAsiaTheme="majorEastAsia" w:hAnsiTheme="majorHAnsi" w:cstheme="majorBidi"/>
          <w:b/>
          <w:bCs/>
          <w:sz w:val="32"/>
          <w:szCs w:val="32"/>
        </w:rPr>
      </w:pPr>
      <w:r w:rsidRPr="009F62A6">
        <w:t>McGeoch L, Ewbank L, Dun-Campbell K, Burale H, Mulrenan C, Briggs A. Addressing the leading risk factors for ill health – a framework for local government action. The Health Foundation; 2023 (</w:t>
      </w:r>
      <w:hyperlink r:id="rId7" w:history="1">
        <w:r w:rsidRPr="00070C51">
          <w:rPr>
            <w:rStyle w:val="Hyperlink"/>
          </w:rPr>
          <w:t>https://doi.org/10.37829/HF-2023-HL03</w:t>
        </w:r>
      </w:hyperlink>
      <w:r w:rsidRPr="009F62A6">
        <w:t>).</w:t>
      </w:r>
      <w:r>
        <w:t xml:space="preserve"> </w:t>
      </w:r>
      <w:r w:rsidRPr="009F62A6">
        <w:rPr>
          <w:b/>
          <w:bCs/>
        </w:rPr>
        <w:t>See: Annex 1: The framework for action with examples from local authorities in England</w:t>
      </w:r>
    </w:p>
    <w:bookmarkEnd w:id="0"/>
    <w:bookmarkEnd w:id="1"/>
    <w:p w14:paraId="109EEDB7" w14:textId="3CEAFD6B" w:rsidR="00A25F4E" w:rsidRPr="0035346E" w:rsidRDefault="00A25F4E" w:rsidP="0035346E">
      <w:pPr>
        <w:rPr>
          <w:rFonts w:asciiTheme="majorHAnsi" w:eastAsiaTheme="majorEastAsia" w:hAnsiTheme="majorHAnsi" w:cstheme="majorBidi"/>
          <w:b/>
          <w:bCs/>
          <w:sz w:val="32"/>
          <w:szCs w:val="32"/>
        </w:rPr>
      </w:pPr>
      <w:r w:rsidRPr="0035346E">
        <w:rPr>
          <w:b/>
          <w:bCs/>
        </w:rPr>
        <w:br w:type="page"/>
      </w:r>
    </w:p>
    <w:p w14:paraId="5A5742FB" w14:textId="3F5EEF44" w:rsidR="0024662D" w:rsidRPr="00073842" w:rsidRDefault="0024662D" w:rsidP="00FF03BB">
      <w:pPr>
        <w:pStyle w:val="Heading1"/>
        <w:rPr>
          <w:color w:val="538135" w:themeColor="accent6" w:themeShade="BF"/>
        </w:rPr>
      </w:pPr>
      <w:r w:rsidRPr="00073842">
        <w:rPr>
          <w:color w:val="538135" w:themeColor="accent6" w:themeShade="BF"/>
        </w:rPr>
        <w:lastRenderedPageBreak/>
        <w:t xml:space="preserve">Case study </w:t>
      </w:r>
      <w:r w:rsidR="006D4D16">
        <w:rPr>
          <w:color w:val="538135" w:themeColor="accent6" w:themeShade="BF"/>
        </w:rPr>
        <w:t>5c</w:t>
      </w:r>
      <w:r w:rsidRPr="00073842">
        <w:rPr>
          <w:color w:val="538135" w:themeColor="accent6" w:themeShade="BF"/>
        </w:rPr>
        <w:t xml:space="preserve">.i. </w:t>
      </w:r>
      <w:r w:rsidR="006D4D16" w:rsidRPr="006D4D16">
        <w:rPr>
          <w:color w:val="538135" w:themeColor="accent6" w:themeShade="BF"/>
        </w:rPr>
        <w:t xml:space="preserve">Sheffield City </w:t>
      </w:r>
      <w:r w:rsidR="0035346E">
        <w:rPr>
          <w:color w:val="538135" w:themeColor="accent6" w:themeShade="BF"/>
        </w:rPr>
        <w:t>Trust</w:t>
      </w:r>
      <w:r w:rsidR="006D4D16" w:rsidRPr="006D4D16">
        <w:rPr>
          <w:color w:val="538135" w:themeColor="accent6" w:themeShade="BF"/>
        </w:rPr>
        <w:t>:</w:t>
      </w:r>
      <w:r w:rsidR="006D4D16">
        <w:rPr>
          <w:color w:val="538135" w:themeColor="accent6" w:themeShade="BF"/>
        </w:rPr>
        <w:t xml:space="preserve"> </w:t>
      </w:r>
      <w:r w:rsidR="006D4D16" w:rsidRPr="006D4D16">
        <w:rPr>
          <w:color w:val="538135" w:themeColor="accent6" w:themeShade="BF"/>
        </w:rPr>
        <w:t>Introducing your own sugar tax</w:t>
      </w:r>
      <w:r w:rsidR="006D4D16">
        <w:rPr>
          <w:color w:val="538135" w:themeColor="accent6" w:themeShade="BF"/>
        </w:rPr>
        <w:t xml:space="preserve"> </w:t>
      </w:r>
    </w:p>
    <w:p w14:paraId="6F626DBB" w14:textId="6A4148B0" w:rsidR="0024662D" w:rsidRPr="00FF03BB" w:rsidRDefault="00A4275A" w:rsidP="006D4D16">
      <w:pPr>
        <w:rPr>
          <w:i/>
          <w:iCs/>
          <w:color w:val="385623" w:themeColor="accent6" w:themeShade="80"/>
          <w:sz w:val="24"/>
          <w:szCs w:val="24"/>
        </w:rPr>
      </w:pPr>
      <w:r w:rsidRPr="00FF03BB">
        <w:rPr>
          <w:i/>
          <w:iCs/>
          <w:color w:val="385623" w:themeColor="accent6" w:themeShade="80"/>
          <w:sz w:val="24"/>
          <w:szCs w:val="24"/>
        </w:rPr>
        <w:t>Acknowledgement: this case study was a</w:t>
      </w:r>
      <w:r w:rsidR="0024662D" w:rsidRPr="00FF03BB">
        <w:rPr>
          <w:i/>
          <w:iCs/>
          <w:color w:val="385623" w:themeColor="accent6" w:themeShade="80"/>
          <w:sz w:val="24"/>
          <w:szCs w:val="24"/>
        </w:rPr>
        <w:t xml:space="preserve">dapted from </w:t>
      </w:r>
      <w:r w:rsidR="006D4D16" w:rsidRPr="00FF03BB">
        <w:rPr>
          <w:i/>
          <w:iCs/>
          <w:color w:val="385623" w:themeColor="accent6" w:themeShade="80"/>
          <w:sz w:val="24"/>
          <w:szCs w:val="24"/>
        </w:rPr>
        <w:t xml:space="preserve">Healthy weight, healthy futures, Local government action to tackle childhood obesity (update 2018), LGA:  </w:t>
      </w:r>
      <w:hyperlink r:id="rId8" w:history="1">
        <w:r w:rsidR="006D4D16" w:rsidRPr="00FF03BB">
          <w:rPr>
            <w:rStyle w:val="Hyperlink"/>
            <w:i/>
            <w:iCs/>
            <w:color w:val="385623" w:themeColor="accent6" w:themeShade="80"/>
            <w:sz w:val="24"/>
            <w:szCs w:val="24"/>
          </w:rPr>
          <w:t>https://www.local.gov.uk/sites/default/files/documents/22.16%20-%20Health%20weight%2C%20healthy%20futures_WEB.pdf</w:t>
        </w:r>
      </w:hyperlink>
      <w:r w:rsidR="006D4D16" w:rsidRPr="00FF03BB">
        <w:rPr>
          <w:i/>
          <w:iCs/>
          <w:color w:val="385623" w:themeColor="accent6" w:themeShade="80"/>
          <w:sz w:val="24"/>
          <w:szCs w:val="24"/>
        </w:rPr>
        <w:t xml:space="preserve"> </w:t>
      </w:r>
    </w:p>
    <w:p w14:paraId="4898593F" w14:textId="76FD68A9" w:rsidR="0024662D" w:rsidRDefault="0024662D" w:rsidP="0024662D"/>
    <w:p w14:paraId="376DC8B6" w14:textId="440F2238" w:rsidR="006D4D16" w:rsidRPr="006D4D16" w:rsidRDefault="006D4D16" w:rsidP="006D4D16">
      <w:pPr>
        <w:rPr>
          <w:sz w:val="24"/>
          <w:szCs w:val="24"/>
        </w:rPr>
      </w:pPr>
      <w:r>
        <w:rPr>
          <w:sz w:val="24"/>
          <w:szCs w:val="24"/>
        </w:rPr>
        <w:t xml:space="preserve">In </w:t>
      </w:r>
      <w:r w:rsidRPr="006D4D16">
        <w:rPr>
          <w:sz w:val="24"/>
          <w:szCs w:val="24"/>
        </w:rPr>
        <w:t>autumn</w:t>
      </w:r>
      <w:r>
        <w:rPr>
          <w:sz w:val="24"/>
          <w:szCs w:val="24"/>
        </w:rPr>
        <w:t xml:space="preserve">, </w:t>
      </w:r>
      <w:r w:rsidRPr="006D4D16">
        <w:rPr>
          <w:sz w:val="24"/>
          <w:szCs w:val="24"/>
        </w:rPr>
        <w:t>2015 Public Health</w:t>
      </w:r>
      <w:r>
        <w:rPr>
          <w:sz w:val="24"/>
          <w:szCs w:val="24"/>
        </w:rPr>
        <w:t xml:space="preserve"> </w:t>
      </w:r>
      <w:r w:rsidRPr="006D4D16">
        <w:rPr>
          <w:sz w:val="24"/>
          <w:szCs w:val="24"/>
        </w:rPr>
        <w:t>England published an evidence review</w:t>
      </w:r>
      <w:r>
        <w:rPr>
          <w:sz w:val="24"/>
          <w:szCs w:val="24"/>
        </w:rPr>
        <w:t xml:space="preserve"> </w:t>
      </w:r>
      <w:r w:rsidRPr="006D4D16">
        <w:rPr>
          <w:sz w:val="24"/>
          <w:szCs w:val="24"/>
        </w:rPr>
        <w:t xml:space="preserve">setting out </w:t>
      </w:r>
      <w:r>
        <w:rPr>
          <w:sz w:val="24"/>
          <w:szCs w:val="24"/>
        </w:rPr>
        <w:t xml:space="preserve">the expected impact of the </w:t>
      </w:r>
      <w:r w:rsidRPr="006D4D16">
        <w:rPr>
          <w:sz w:val="24"/>
          <w:szCs w:val="24"/>
        </w:rPr>
        <w:t xml:space="preserve">Government’s sugar tax </w:t>
      </w:r>
      <w:r>
        <w:rPr>
          <w:sz w:val="24"/>
          <w:szCs w:val="24"/>
        </w:rPr>
        <w:t xml:space="preserve">(which </w:t>
      </w:r>
      <w:r w:rsidRPr="006D4D16">
        <w:rPr>
          <w:sz w:val="24"/>
          <w:szCs w:val="24"/>
        </w:rPr>
        <w:t>came into</w:t>
      </w:r>
      <w:r>
        <w:rPr>
          <w:sz w:val="24"/>
          <w:szCs w:val="24"/>
        </w:rPr>
        <w:t xml:space="preserve"> </w:t>
      </w:r>
      <w:r w:rsidRPr="006D4D16">
        <w:rPr>
          <w:sz w:val="24"/>
          <w:szCs w:val="24"/>
        </w:rPr>
        <w:t>force in April 2018</w:t>
      </w:r>
      <w:r>
        <w:rPr>
          <w:sz w:val="24"/>
          <w:szCs w:val="24"/>
        </w:rPr>
        <w:t xml:space="preserve">). Locally, this </w:t>
      </w:r>
      <w:r w:rsidRPr="006D4D16">
        <w:rPr>
          <w:sz w:val="24"/>
          <w:szCs w:val="24"/>
        </w:rPr>
        <w:t>spiked the interest of leisure</w:t>
      </w:r>
      <w:r>
        <w:rPr>
          <w:sz w:val="24"/>
          <w:szCs w:val="24"/>
        </w:rPr>
        <w:t xml:space="preserve"> </w:t>
      </w:r>
      <w:r w:rsidRPr="006D4D16">
        <w:rPr>
          <w:sz w:val="24"/>
          <w:szCs w:val="24"/>
        </w:rPr>
        <w:t>group SIV, part of the not-for-profit</w:t>
      </w:r>
      <w:r>
        <w:rPr>
          <w:sz w:val="24"/>
          <w:szCs w:val="24"/>
        </w:rPr>
        <w:t xml:space="preserve"> </w:t>
      </w:r>
      <w:r w:rsidRPr="006D4D16">
        <w:rPr>
          <w:sz w:val="24"/>
          <w:szCs w:val="24"/>
        </w:rPr>
        <w:t>Sheffield City Trust. “It really made</w:t>
      </w:r>
      <w:r>
        <w:rPr>
          <w:sz w:val="24"/>
          <w:szCs w:val="24"/>
        </w:rPr>
        <w:t xml:space="preserve"> </w:t>
      </w:r>
      <w:r w:rsidRPr="006D4D16">
        <w:rPr>
          <w:sz w:val="24"/>
          <w:szCs w:val="24"/>
        </w:rPr>
        <w:t>us think,” said Robert Womack, SIV’s</w:t>
      </w:r>
      <w:r>
        <w:rPr>
          <w:sz w:val="24"/>
          <w:szCs w:val="24"/>
        </w:rPr>
        <w:t xml:space="preserve"> </w:t>
      </w:r>
      <w:r w:rsidRPr="006D4D16">
        <w:rPr>
          <w:sz w:val="24"/>
          <w:szCs w:val="24"/>
        </w:rPr>
        <w:t>Health, Wellbeing &amp; Partnerships Manager.</w:t>
      </w:r>
    </w:p>
    <w:p w14:paraId="3A127CD4" w14:textId="77777777" w:rsidR="006D4D16" w:rsidRDefault="006D4D16" w:rsidP="006D4D16">
      <w:pPr>
        <w:rPr>
          <w:sz w:val="24"/>
          <w:szCs w:val="24"/>
        </w:rPr>
      </w:pPr>
      <w:r w:rsidRPr="006D4D16">
        <w:rPr>
          <w:sz w:val="24"/>
          <w:szCs w:val="24"/>
        </w:rPr>
        <w:t>Following discussions internally</w:t>
      </w:r>
      <w:r>
        <w:rPr>
          <w:sz w:val="24"/>
          <w:szCs w:val="24"/>
        </w:rPr>
        <w:t xml:space="preserve"> </w:t>
      </w:r>
      <w:r w:rsidRPr="006D4D16">
        <w:rPr>
          <w:sz w:val="24"/>
          <w:szCs w:val="24"/>
        </w:rPr>
        <w:t>and with the Sheffield City Council’s</w:t>
      </w:r>
      <w:r>
        <w:rPr>
          <w:sz w:val="24"/>
          <w:szCs w:val="24"/>
        </w:rPr>
        <w:t xml:space="preserve"> </w:t>
      </w:r>
      <w:r w:rsidRPr="006D4D16">
        <w:rPr>
          <w:sz w:val="24"/>
          <w:szCs w:val="24"/>
        </w:rPr>
        <w:t>public health team in spring 2016,</w:t>
      </w:r>
      <w:r>
        <w:rPr>
          <w:sz w:val="24"/>
          <w:szCs w:val="24"/>
        </w:rPr>
        <w:t xml:space="preserve"> </w:t>
      </w:r>
      <w:r w:rsidRPr="006D4D16">
        <w:rPr>
          <w:sz w:val="24"/>
          <w:szCs w:val="24"/>
        </w:rPr>
        <w:t>SIV decided to act.</w:t>
      </w:r>
      <w:r>
        <w:rPr>
          <w:sz w:val="24"/>
          <w:szCs w:val="24"/>
        </w:rPr>
        <w:t xml:space="preserve">  S</w:t>
      </w:r>
      <w:r w:rsidRPr="006D4D16">
        <w:rPr>
          <w:sz w:val="24"/>
          <w:szCs w:val="24"/>
        </w:rPr>
        <w:t>everal options were considered, including</w:t>
      </w:r>
      <w:r>
        <w:rPr>
          <w:sz w:val="24"/>
          <w:szCs w:val="24"/>
        </w:rPr>
        <w:t xml:space="preserve"> </w:t>
      </w:r>
      <w:r w:rsidRPr="006D4D16">
        <w:rPr>
          <w:sz w:val="24"/>
          <w:szCs w:val="24"/>
        </w:rPr>
        <w:t xml:space="preserve">getting rid of </w:t>
      </w:r>
      <w:r>
        <w:rPr>
          <w:sz w:val="24"/>
          <w:szCs w:val="24"/>
        </w:rPr>
        <w:t>high-sugar</w:t>
      </w:r>
      <w:r w:rsidRPr="006D4D16">
        <w:rPr>
          <w:sz w:val="24"/>
          <w:szCs w:val="24"/>
        </w:rPr>
        <w:t xml:space="preserve"> drinks altogether, but SIV</w:t>
      </w:r>
      <w:r>
        <w:rPr>
          <w:sz w:val="24"/>
          <w:szCs w:val="24"/>
        </w:rPr>
        <w:t xml:space="preserve"> </w:t>
      </w:r>
      <w:r w:rsidRPr="006D4D16">
        <w:rPr>
          <w:sz w:val="24"/>
          <w:szCs w:val="24"/>
        </w:rPr>
        <w:t>decided introducing its own sugar tax was</w:t>
      </w:r>
      <w:r>
        <w:rPr>
          <w:sz w:val="24"/>
          <w:szCs w:val="24"/>
        </w:rPr>
        <w:t xml:space="preserve"> </w:t>
      </w:r>
      <w:r w:rsidRPr="006D4D16">
        <w:rPr>
          <w:sz w:val="24"/>
          <w:szCs w:val="24"/>
        </w:rPr>
        <w:t xml:space="preserve">the best approach. </w:t>
      </w:r>
    </w:p>
    <w:p w14:paraId="2604346E" w14:textId="77777777" w:rsidR="006D4D16" w:rsidRDefault="006D4D16" w:rsidP="006D4D16">
      <w:pPr>
        <w:rPr>
          <w:sz w:val="24"/>
          <w:szCs w:val="24"/>
        </w:rPr>
      </w:pPr>
      <w:r w:rsidRPr="006D4D16">
        <w:rPr>
          <w:sz w:val="24"/>
          <w:szCs w:val="24"/>
        </w:rPr>
        <w:t>A 20p levy on soft drinks with more than 5</w:t>
      </w:r>
      <w:r>
        <w:rPr>
          <w:sz w:val="24"/>
          <w:szCs w:val="24"/>
        </w:rPr>
        <w:t xml:space="preserve"> </w:t>
      </w:r>
      <w:r w:rsidRPr="006D4D16">
        <w:rPr>
          <w:sz w:val="24"/>
          <w:szCs w:val="24"/>
        </w:rPr>
        <w:t>grams of sugar per 100ml came into force in</w:t>
      </w:r>
      <w:r>
        <w:rPr>
          <w:sz w:val="24"/>
          <w:szCs w:val="24"/>
        </w:rPr>
        <w:t xml:space="preserve"> </w:t>
      </w:r>
      <w:r w:rsidRPr="006D4D16">
        <w:rPr>
          <w:sz w:val="24"/>
          <w:szCs w:val="24"/>
        </w:rPr>
        <w:t>July 2016. It excluded milk-based drinks and</w:t>
      </w:r>
      <w:r>
        <w:rPr>
          <w:sz w:val="24"/>
          <w:szCs w:val="24"/>
        </w:rPr>
        <w:t xml:space="preserve"> </w:t>
      </w:r>
      <w:r w:rsidRPr="006D4D16">
        <w:rPr>
          <w:sz w:val="24"/>
          <w:szCs w:val="24"/>
        </w:rPr>
        <w:t>fruit juices, as the PHE review recommended.</w:t>
      </w:r>
      <w:r>
        <w:rPr>
          <w:sz w:val="24"/>
          <w:szCs w:val="24"/>
        </w:rPr>
        <w:t xml:space="preserve"> </w:t>
      </w:r>
      <w:r w:rsidRPr="006D4D16">
        <w:rPr>
          <w:sz w:val="24"/>
          <w:szCs w:val="24"/>
        </w:rPr>
        <w:t>The tax was introduced in the eight sports</w:t>
      </w:r>
      <w:r>
        <w:rPr>
          <w:sz w:val="24"/>
          <w:szCs w:val="24"/>
        </w:rPr>
        <w:t xml:space="preserve"> </w:t>
      </w:r>
      <w:r w:rsidRPr="006D4D16">
        <w:rPr>
          <w:sz w:val="24"/>
          <w:szCs w:val="24"/>
        </w:rPr>
        <w:t>and leisure venues SIV runs and applied to</w:t>
      </w:r>
      <w:r>
        <w:rPr>
          <w:sz w:val="24"/>
          <w:szCs w:val="24"/>
        </w:rPr>
        <w:t xml:space="preserve"> </w:t>
      </w:r>
      <w:r w:rsidRPr="006D4D16">
        <w:rPr>
          <w:sz w:val="24"/>
          <w:szCs w:val="24"/>
        </w:rPr>
        <w:t>both vending machines and cafes. It was</w:t>
      </w:r>
      <w:r>
        <w:rPr>
          <w:sz w:val="24"/>
          <w:szCs w:val="24"/>
        </w:rPr>
        <w:t xml:space="preserve"> </w:t>
      </w:r>
      <w:r w:rsidRPr="006D4D16">
        <w:rPr>
          <w:sz w:val="24"/>
          <w:szCs w:val="24"/>
        </w:rPr>
        <w:t>decided any money raised would be put into</w:t>
      </w:r>
      <w:r>
        <w:rPr>
          <w:sz w:val="24"/>
          <w:szCs w:val="24"/>
        </w:rPr>
        <w:t xml:space="preserve"> </w:t>
      </w:r>
      <w:r w:rsidRPr="006D4D16">
        <w:rPr>
          <w:sz w:val="24"/>
          <w:szCs w:val="24"/>
        </w:rPr>
        <w:t>a fund that would then be reinvested into</w:t>
      </w:r>
      <w:r>
        <w:rPr>
          <w:sz w:val="24"/>
          <w:szCs w:val="24"/>
        </w:rPr>
        <w:t xml:space="preserve"> </w:t>
      </w:r>
      <w:r w:rsidRPr="006D4D16">
        <w:rPr>
          <w:sz w:val="24"/>
          <w:szCs w:val="24"/>
        </w:rPr>
        <w:t>the local community to encourage healthy</w:t>
      </w:r>
      <w:r>
        <w:rPr>
          <w:sz w:val="24"/>
          <w:szCs w:val="24"/>
        </w:rPr>
        <w:t xml:space="preserve"> </w:t>
      </w:r>
      <w:r w:rsidRPr="006D4D16">
        <w:rPr>
          <w:sz w:val="24"/>
          <w:szCs w:val="24"/>
        </w:rPr>
        <w:t>lifestyles. Stickers were placed on the drinks</w:t>
      </w:r>
      <w:r>
        <w:rPr>
          <w:sz w:val="24"/>
          <w:szCs w:val="24"/>
        </w:rPr>
        <w:t xml:space="preserve"> </w:t>
      </w:r>
      <w:r w:rsidRPr="006D4D16">
        <w:rPr>
          <w:sz w:val="24"/>
          <w:szCs w:val="24"/>
        </w:rPr>
        <w:t>that were affected – 21 in total</w:t>
      </w:r>
      <w:r>
        <w:rPr>
          <w:sz w:val="24"/>
          <w:szCs w:val="24"/>
        </w:rPr>
        <w:t xml:space="preserve">. </w:t>
      </w:r>
    </w:p>
    <w:p w14:paraId="271B0191" w14:textId="07DA1418" w:rsidR="006D4D16" w:rsidRDefault="006D4D16" w:rsidP="006D4D16">
      <w:pPr>
        <w:rPr>
          <w:sz w:val="24"/>
          <w:szCs w:val="24"/>
        </w:rPr>
      </w:pPr>
      <w:r w:rsidRPr="006D4D16">
        <w:rPr>
          <w:sz w:val="24"/>
          <w:szCs w:val="24"/>
        </w:rPr>
        <w:t>The impact has been</w:t>
      </w:r>
      <w:r>
        <w:rPr>
          <w:sz w:val="24"/>
          <w:szCs w:val="24"/>
        </w:rPr>
        <w:t xml:space="preserve"> </w:t>
      </w:r>
      <w:r w:rsidRPr="006D4D16">
        <w:rPr>
          <w:sz w:val="24"/>
          <w:szCs w:val="24"/>
        </w:rPr>
        <w:t>evaluated by researchers at Sheffield</w:t>
      </w:r>
      <w:r>
        <w:rPr>
          <w:sz w:val="24"/>
          <w:szCs w:val="24"/>
        </w:rPr>
        <w:t xml:space="preserve"> </w:t>
      </w:r>
      <w:r w:rsidRPr="006D4D16">
        <w:rPr>
          <w:sz w:val="24"/>
          <w:szCs w:val="24"/>
        </w:rPr>
        <w:t>University in collaboration with SIV and</w:t>
      </w:r>
      <w:r>
        <w:rPr>
          <w:sz w:val="24"/>
          <w:szCs w:val="24"/>
        </w:rPr>
        <w:t xml:space="preserve"> </w:t>
      </w:r>
      <w:r w:rsidRPr="006D4D16">
        <w:rPr>
          <w:sz w:val="24"/>
          <w:szCs w:val="24"/>
        </w:rPr>
        <w:t>the council.</w:t>
      </w:r>
      <w:r>
        <w:rPr>
          <w:sz w:val="24"/>
          <w:szCs w:val="24"/>
        </w:rPr>
        <w:t xml:space="preserve"> </w:t>
      </w:r>
      <w:r w:rsidRPr="006D4D16">
        <w:rPr>
          <w:sz w:val="24"/>
          <w:szCs w:val="24"/>
        </w:rPr>
        <w:t>The review found in the first year after the</w:t>
      </w:r>
      <w:r>
        <w:rPr>
          <w:sz w:val="24"/>
          <w:szCs w:val="24"/>
        </w:rPr>
        <w:t xml:space="preserve"> </w:t>
      </w:r>
      <w:r w:rsidRPr="006D4D16">
        <w:rPr>
          <w:sz w:val="24"/>
          <w:szCs w:val="24"/>
        </w:rPr>
        <w:t>introduction of the tax sales of high sugar</w:t>
      </w:r>
      <w:r>
        <w:rPr>
          <w:sz w:val="24"/>
          <w:szCs w:val="24"/>
        </w:rPr>
        <w:t xml:space="preserve"> </w:t>
      </w:r>
      <w:r w:rsidRPr="006D4D16">
        <w:rPr>
          <w:sz w:val="24"/>
          <w:szCs w:val="24"/>
        </w:rPr>
        <w:t>drinks fell by 31 per cent per visit.</w:t>
      </w:r>
      <w:r>
        <w:rPr>
          <w:sz w:val="24"/>
          <w:szCs w:val="24"/>
        </w:rPr>
        <w:t xml:space="preserve"> </w:t>
      </w:r>
      <w:r w:rsidRPr="006D4D16">
        <w:rPr>
          <w:sz w:val="24"/>
          <w:szCs w:val="24"/>
        </w:rPr>
        <w:t>The sales of lower sugar alternatives rose</w:t>
      </w:r>
      <w:r>
        <w:rPr>
          <w:sz w:val="24"/>
          <w:szCs w:val="24"/>
        </w:rPr>
        <w:t xml:space="preserve"> </w:t>
      </w:r>
      <w:r w:rsidRPr="006D4D16">
        <w:rPr>
          <w:sz w:val="24"/>
          <w:szCs w:val="24"/>
        </w:rPr>
        <w:t>by 27 per cent, suggesting that the public</w:t>
      </w:r>
      <w:r>
        <w:rPr>
          <w:sz w:val="24"/>
          <w:szCs w:val="24"/>
        </w:rPr>
        <w:t xml:space="preserve"> </w:t>
      </w:r>
      <w:r w:rsidRPr="006D4D16">
        <w:rPr>
          <w:sz w:val="24"/>
          <w:szCs w:val="24"/>
        </w:rPr>
        <w:t>did not simply purchase the drinks elsewhere.</w:t>
      </w:r>
      <w:r>
        <w:rPr>
          <w:sz w:val="24"/>
          <w:szCs w:val="24"/>
        </w:rPr>
        <w:t xml:space="preserve"> </w:t>
      </w:r>
      <w:r w:rsidRPr="006D4D16">
        <w:rPr>
          <w:sz w:val="24"/>
          <w:szCs w:val="24"/>
        </w:rPr>
        <w:t>This was the equivalents of removing</w:t>
      </w:r>
      <w:r>
        <w:rPr>
          <w:sz w:val="24"/>
          <w:szCs w:val="24"/>
        </w:rPr>
        <w:t xml:space="preserve"> </w:t>
      </w:r>
      <w:r w:rsidRPr="006D4D16">
        <w:rPr>
          <w:sz w:val="24"/>
          <w:szCs w:val="24"/>
        </w:rPr>
        <w:t>1.3 million tonnes of sugar from the diet</w:t>
      </w:r>
      <w:r>
        <w:rPr>
          <w:sz w:val="24"/>
          <w:szCs w:val="24"/>
        </w:rPr>
        <w:t xml:space="preserve"> </w:t>
      </w:r>
      <w:r w:rsidRPr="006D4D16">
        <w:rPr>
          <w:sz w:val="24"/>
          <w:szCs w:val="24"/>
        </w:rPr>
        <w:t>of local people.</w:t>
      </w:r>
    </w:p>
    <w:p w14:paraId="262499AD" w14:textId="6C4DC995" w:rsidR="006D4D16" w:rsidRDefault="006D4D16" w:rsidP="006D4D16">
      <w:pPr>
        <w:rPr>
          <w:sz w:val="24"/>
          <w:szCs w:val="24"/>
        </w:rPr>
      </w:pPr>
      <w:r w:rsidRPr="006D4D16">
        <w:rPr>
          <w:sz w:val="24"/>
          <w:szCs w:val="24"/>
        </w:rPr>
        <w:t>The SIV tax is still in place, but as</w:t>
      </w:r>
      <w:r>
        <w:rPr>
          <w:sz w:val="24"/>
          <w:szCs w:val="24"/>
        </w:rPr>
        <w:t xml:space="preserve"> </w:t>
      </w:r>
      <w:r w:rsidRPr="006D4D16">
        <w:rPr>
          <w:sz w:val="24"/>
          <w:szCs w:val="24"/>
        </w:rPr>
        <w:t>manufacturers have reformulated their</w:t>
      </w:r>
      <w:r>
        <w:rPr>
          <w:sz w:val="24"/>
          <w:szCs w:val="24"/>
        </w:rPr>
        <w:t xml:space="preserve"> </w:t>
      </w:r>
      <w:r w:rsidRPr="006D4D16">
        <w:rPr>
          <w:sz w:val="24"/>
          <w:szCs w:val="24"/>
        </w:rPr>
        <w:t>drinks there are now only two drinks</w:t>
      </w:r>
      <w:r>
        <w:rPr>
          <w:sz w:val="24"/>
          <w:szCs w:val="24"/>
        </w:rPr>
        <w:t xml:space="preserve"> </w:t>
      </w:r>
      <w:r w:rsidRPr="006D4D16">
        <w:rPr>
          <w:sz w:val="24"/>
          <w:szCs w:val="24"/>
        </w:rPr>
        <w:t>stocked by the group that are subject</w:t>
      </w:r>
      <w:r>
        <w:rPr>
          <w:sz w:val="24"/>
          <w:szCs w:val="24"/>
        </w:rPr>
        <w:t xml:space="preserve"> </w:t>
      </w:r>
      <w:r w:rsidRPr="006D4D16">
        <w:rPr>
          <w:sz w:val="24"/>
          <w:szCs w:val="24"/>
        </w:rPr>
        <w:t>to the 20p tax.</w:t>
      </w:r>
    </w:p>
    <w:p w14:paraId="3EBB57CD" w14:textId="7996E799" w:rsidR="006D4D16" w:rsidRDefault="006D4D16" w:rsidP="006D4D16">
      <w:pPr>
        <w:rPr>
          <w:sz w:val="24"/>
          <w:szCs w:val="24"/>
        </w:rPr>
      </w:pPr>
      <w:r w:rsidRPr="006D4D16">
        <w:rPr>
          <w:sz w:val="24"/>
          <w:szCs w:val="24"/>
        </w:rPr>
        <w:t>Mr Womack said one of the key steps was training their front-of-house</w:t>
      </w:r>
      <w:r>
        <w:rPr>
          <w:sz w:val="24"/>
          <w:szCs w:val="24"/>
        </w:rPr>
        <w:t xml:space="preserve"> </w:t>
      </w:r>
      <w:r w:rsidRPr="006D4D16">
        <w:rPr>
          <w:sz w:val="24"/>
          <w:szCs w:val="24"/>
        </w:rPr>
        <w:t>and catering staff in how to communicate</w:t>
      </w:r>
      <w:r>
        <w:rPr>
          <w:sz w:val="24"/>
          <w:szCs w:val="24"/>
        </w:rPr>
        <w:t xml:space="preserve"> </w:t>
      </w:r>
      <w:r w:rsidRPr="006D4D16">
        <w:rPr>
          <w:sz w:val="24"/>
          <w:szCs w:val="24"/>
        </w:rPr>
        <w:t>messages around sugar to the public.</w:t>
      </w:r>
      <w:r>
        <w:rPr>
          <w:sz w:val="24"/>
          <w:szCs w:val="24"/>
        </w:rPr>
        <w:t xml:space="preserve"> ‘</w:t>
      </w:r>
      <w:r w:rsidRPr="006D4D16">
        <w:rPr>
          <w:sz w:val="24"/>
          <w:szCs w:val="24"/>
        </w:rPr>
        <w:t>We didn’t want to shame people who did</w:t>
      </w:r>
      <w:r>
        <w:rPr>
          <w:sz w:val="24"/>
          <w:szCs w:val="24"/>
        </w:rPr>
        <w:t xml:space="preserve"> </w:t>
      </w:r>
      <w:r w:rsidRPr="006D4D16">
        <w:rPr>
          <w:sz w:val="24"/>
          <w:szCs w:val="24"/>
        </w:rPr>
        <w:t>want to buy the high sugar drinks, but we did</w:t>
      </w:r>
      <w:r>
        <w:rPr>
          <w:sz w:val="24"/>
          <w:szCs w:val="24"/>
        </w:rPr>
        <w:t xml:space="preserve"> </w:t>
      </w:r>
      <w:r w:rsidRPr="006D4D16">
        <w:rPr>
          <w:sz w:val="24"/>
          <w:szCs w:val="24"/>
        </w:rPr>
        <w:t>want to use it as an opportunity to engage</w:t>
      </w:r>
      <w:r>
        <w:rPr>
          <w:sz w:val="24"/>
          <w:szCs w:val="24"/>
        </w:rPr>
        <w:t xml:space="preserve"> </w:t>
      </w:r>
      <w:r w:rsidRPr="006D4D16">
        <w:rPr>
          <w:sz w:val="24"/>
          <w:szCs w:val="24"/>
        </w:rPr>
        <w:t>them in a conversation about sugar.</w:t>
      </w:r>
      <w:r>
        <w:rPr>
          <w:sz w:val="24"/>
          <w:szCs w:val="24"/>
        </w:rPr>
        <w:t xml:space="preserve"> </w:t>
      </w:r>
      <w:r w:rsidRPr="006D4D16">
        <w:rPr>
          <w:sz w:val="24"/>
          <w:szCs w:val="24"/>
        </w:rPr>
        <w:t>If someone was buying a high sugar drink</w:t>
      </w:r>
      <w:r>
        <w:rPr>
          <w:sz w:val="24"/>
          <w:szCs w:val="24"/>
        </w:rPr>
        <w:t xml:space="preserve"> </w:t>
      </w:r>
      <w:r w:rsidRPr="006D4D16">
        <w:rPr>
          <w:sz w:val="24"/>
          <w:szCs w:val="24"/>
        </w:rPr>
        <w:t>we would point out that it had the tax placed</w:t>
      </w:r>
      <w:r>
        <w:rPr>
          <w:sz w:val="24"/>
          <w:szCs w:val="24"/>
        </w:rPr>
        <w:t xml:space="preserve"> </w:t>
      </w:r>
      <w:r w:rsidRPr="006D4D16">
        <w:rPr>
          <w:sz w:val="24"/>
          <w:szCs w:val="24"/>
        </w:rPr>
        <w:t>on it and there were other alternatives that</w:t>
      </w:r>
      <w:r>
        <w:rPr>
          <w:sz w:val="24"/>
          <w:szCs w:val="24"/>
        </w:rPr>
        <w:t xml:space="preserve"> </w:t>
      </w:r>
      <w:r w:rsidRPr="006D4D16">
        <w:rPr>
          <w:sz w:val="24"/>
          <w:szCs w:val="24"/>
        </w:rPr>
        <w:t>were lower in sugar.</w:t>
      </w:r>
      <w:r>
        <w:rPr>
          <w:sz w:val="24"/>
          <w:szCs w:val="24"/>
        </w:rPr>
        <w:t>’</w:t>
      </w:r>
    </w:p>
    <w:p w14:paraId="2D3FE26A" w14:textId="06DDC81D" w:rsidR="006D4D16" w:rsidRDefault="006D4D16" w:rsidP="006D4D16">
      <w:pPr>
        <w:rPr>
          <w:sz w:val="24"/>
          <w:szCs w:val="24"/>
        </w:rPr>
      </w:pPr>
    </w:p>
    <w:p w14:paraId="0552BE94" w14:textId="60EE443F" w:rsidR="006D4D16" w:rsidRDefault="006D4D16" w:rsidP="006D4D16">
      <w:pPr>
        <w:rPr>
          <w:sz w:val="24"/>
          <w:szCs w:val="24"/>
        </w:rPr>
      </w:pPr>
    </w:p>
    <w:p w14:paraId="7435B1D1" w14:textId="77777777" w:rsidR="002F028A" w:rsidRDefault="002F028A">
      <w:pPr>
        <w:rPr>
          <w:rFonts w:asciiTheme="majorHAnsi" w:eastAsiaTheme="majorEastAsia" w:hAnsiTheme="majorHAnsi" w:cstheme="majorBidi"/>
          <w:b/>
          <w:bCs/>
          <w:sz w:val="32"/>
          <w:szCs w:val="32"/>
        </w:rPr>
      </w:pPr>
      <w:r>
        <w:rPr>
          <w:b/>
          <w:bCs/>
        </w:rPr>
        <w:br w:type="page"/>
      </w:r>
    </w:p>
    <w:p w14:paraId="3CB1C91B" w14:textId="0232DC2F" w:rsidR="00D22A7D" w:rsidRPr="00073842" w:rsidRDefault="00D22A7D" w:rsidP="00FF03BB">
      <w:pPr>
        <w:pStyle w:val="Heading1"/>
        <w:rPr>
          <w:color w:val="538135" w:themeColor="accent6" w:themeShade="BF"/>
        </w:rPr>
      </w:pPr>
      <w:r w:rsidRPr="00073842">
        <w:rPr>
          <w:color w:val="538135" w:themeColor="accent6" w:themeShade="BF"/>
        </w:rPr>
        <w:lastRenderedPageBreak/>
        <w:t xml:space="preserve">Case study </w:t>
      </w:r>
      <w:r>
        <w:rPr>
          <w:color w:val="538135" w:themeColor="accent6" w:themeShade="BF"/>
        </w:rPr>
        <w:t>5c</w:t>
      </w:r>
      <w:r w:rsidRPr="00073842">
        <w:rPr>
          <w:color w:val="538135" w:themeColor="accent6" w:themeShade="BF"/>
        </w:rPr>
        <w:t>.i</w:t>
      </w:r>
      <w:r>
        <w:rPr>
          <w:color w:val="538135" w:themeColor="accent6" w:themeShade="BF"/>
        </w:rPr>
        <w:t>i</w:t>
      </w:r>
      <w:r w:rsidRPr="00073842">
        <w:rPr>
          <w:color w:val="538135" w:themeColor="accent6" w:themeShade="BF"/>
        </w:rPr>
        <w:t xml:space="preserve">. </w:t>
      </w:r>
      <w:r>
        <w:rPr>
          <w:color w:val="538135" w:themeColor="accent6" w:themeShade="BF"/>
        </w:rPr>
        <w:t xml:space="preserve">using </w:t>
      </w:r>
      <w:r w:rsidRPr="00D22A7D">
        <w:rPr>
          <w:color w:val="538135" w:themeColor="accent6" w:themeShade="BF"/>
        </w:rPr>
        <w:t>the</w:t>
      </w:r>
      <w:r>
        <w:rPr>
          <w:color w:val="538135" w:themeColor="accent6" w:themeShade="BF"/>
        </w:rPr>
        <w:t xml:space="preserve"> local</w:t>
      </w:r>
      <w:r w:rsidRPr="00D22A7D">
        <w:rPr>
          <w:color w:val="538135" w:themeColor="accent6" w:themeShade="BF"/>
        </w:rPr>
        <w:t xml:space="preserve"> planning system to regulate hot food takeaway outlets</w:t>
      </w:r>
    </w:p>
    <w:p w14:paraId="0B7CE375" w14:textId="0967A3DE" w:rsidR="00D22A7D" w:rsidRPr="00FF03BB" w:rsidRDefault="00D22A7D" w:rsidP="00D22A7D">
      <w:pPr>
        <w:rPr>
          <w:i/>
          <w:iCs/>
          <w:color w:val="385623" w:themeColor="accent6" w:themeShade="80"/>
          <w:sz w:val="24"/>
          <w:szCs w:val="24"/>
        </w:rPr>
      </w:pPr>
      <w:r w:rsidRPr="00FF03BB">
        <w:rPr>
          <w:i/>
          <w:iCs/>
          <w:color w:val="385623" w:themeColor="accent6" w:themeShade="80"/>
          <w:sz w:val="24"/>
          <w:szCs w:val="24"/>
        </w:rPr>
        <w:t xml:space="preserve">Acknowledgement: this case study was adapted from How does local government use the planning system to regulate hot food takeaway outlets? A census of current practice in England using document review, Keeble, Burgoine et al 2019: </w:t>
      </w:r>
      <w:hyperlink r:id="rId9" w:history="1">
        <w:r w:rsidRPr="00FF03BB">
          <w:rPr>
            <w:rStyle w:val="Hyperlink"/>
            <w:i/>
            <w:iCs/>
            <w:color w:val="385623" w:themeColor="accent6" w:themeShade="80"/>
            <w:sz w:val="24"/>
            <w:szCs w:val="24"/>
          </w:rPr>
          <w:t>https://www.sciencedirect.com/science/article/pii/S1353829218310414</w:t>
        </w:r>
      </w:hyperlink>
      <w:r w:rsidRPr="00FF03BB">
        <w:rPr>
          <w:i/>
          <w:iCs/>
          <w:color w:val="385623" w:themeColor="accent6" w:themeShade="80"/>
          <w:sz w:val="24"/>
          <w:szCs w:val="24"/>
        </w:rPr>
        <w:t xml:space="preserve"> </w:t>
      </w:r>
    </w:p>
    <w:p w14:paraId="6806393D" w14:textId="5020FA73" w:rsidR="002F028A" w:rsidRPr="00FF03BB" w:rsidRDefault="002F028A" w:rsidP="00D22A7D">
      <w:pPr>
        <w:rPr>
          <w:i/>
          <w:iCs/>
          <w:color w:val="385623" w:themeColor="accent6" w:themeShade="80"/>
          <w:sz w:val="24"/>
          <w:szCs w:val="24"/>
        </w:rPr>
      </w:pPr>
      <w:r w:rsidRPr="00FF03BB">
        <w:rPr>
          <w:i/>
          <w:iCs/>
          <w:color w:val="385623" w:themeColor="accent6" w:themeShade="80"/>
          <w:sz w:val="24"/>
          <w:szCs w:val="24"/>
        </w:rPr>
        <w:t xml:space="preserve">And: No new fast-food outlets allowed! Evaluating the effect of planning policy on the local food environment in the North East of England, Brown et al, 2022:  </w:t>
      </w:r>
      <w:hyperlink r:id="rId10" w:history="1">
        <w:r w:rsidRPr="00FF03BB">
          <w:rPr>
            <w:rStyle w:val="Hyperlink"/>
            <w:i/>
            <w:iCs/>
            <w:color w:val="385623" w:themeColor="accent6" w:themeShade="80"/>
            <w:sz w:val="24"/>
            <w:szCs w:val="24"/>
          </w:rPr>
          <w:t>https://www.sciencedirect.com/science/article/pii/S0277953622004324</w:t>
        </w:r>
      </w:hyperlink>
      <w:r w:rsidRPr="00FF03BB">
        <w:rPr>
          <w:i/>
          <w:iCs/>
          <w:color w:val="385623" w:themeColor="accent6" w:themeShade="80"/>
          <w:sz w:val="24"/>
          <w:szCs w:val="24"/>
        </w:rPr>
        <w:t xml:space="preserve"> </w:t>
      </w:r>
    </w:p>
    <w:p w14:paraId="0997A1B6" w14:textId="77777777" w:rsidR="00D22A7D" w:rsidRDefault="00D22A7D" w:rsidP="00D22A7D"/>
    <w:p w14:paraId="17227287" w14:textId="77777777" w:rsidR="00D22A7D" w:rsidRPr="00D22A7D" w:rsidRDefault="00D22A7D" w:rsidP="00D22A7D">
      <w:pPr>
        <w:rPr>
          <w:b/>
          <w:bCs/>
          <w:sz w:val="24"/>
          <w:szCs w:val="24"/>
        </w:rPr>
      </w:pPr>
      <w:r w:rsidRPr="00D22A7D">
        <w:rPr>
          <w:b/>
          <w:bCs/>
          <w:sz w:val="24"/>
          <w:szCs w:val="24"/>
        </w:rPr>
        <w:t>Background</w:t>
      </w:r>
    </w:p>
    <w:p w14:paraId="541833C4" w14:textId="23C11E73" w:rsidR="00D22A7D" w:rsidRDefault="00D22A7D" w:rsidP="00D22A7D">
      <w:pPr>
        <w:rPr>
          <w:sz w:val="24"/>
          <w:szCs w:val="24"/>
        </w:rPr>
      </w:pPr>
      <w:r>
        <w:rPr>
          <w:sz w:val="24"/>
          <w:szCs w:val="24"/>
        </w:rPr>
        <w:t xml:space="preserve">Methods used </w:t>
      </w:r>
      <w:r w:rsidR="002F028A">
        <w:rPr>
          <w:sz w:val="24"/>
          <w:szCs w:val="24"/>
        </w:rPr>
        <w:t xml:space="preserve">across the country </w:t>
      </w:r>
      <w:r>
        <w:rPr>
          <w:sz w:val="24"/>
          <w:szCs w:val="24"/>
        </w:rPr>
        <w:t>include:</w:t>
      </w:r>
    </w:p>
    <w:p w14:paraId="6545620A" w14:textId="1E7F525A" w:rsidR="00D22A7D" w:rsidRPr="00D22A7D" w:rsidRDefault="00D22A7D" w:rsidP="00D22A7D">
      <w:pPr>
        <w:pStyle w:val="ListParagraph"/>
        <w:numPr>
          <w:ilvl w:val="0"/>
          <w:numId w:val="2"/>
        </w:numPr>
        <w:rPr>
          <w:sz w:val="24"/>
          <w:szCs w:val="24"/>
        </w:rPr>
      </w:pPr>
      <w:r w:rsidRPr="00D22A7D">
        <w:rPr>
          <w:sz w:val="24"/>
          <w:szCs w:val="24"/>
        </w:rPr>
        <w:t>Exclusion Zones: Opening of new takeaway food outlets will be restricted within these zones</w:t>
      </w:r>
    </w:p>
    <w:p w14:paraId="31CF0CA6" w14:textId="73A5B1DD" w:rsidR="00D22A7D" w:rsidRPr="00D22A7D" w:rsidRDefault="00D22A7D" w:rsidP="00D22A7D">
      <w:pPr>
        <w:pStyle w:val="ListParagraph"/>
        <w:numPr>
          <w:ilvl w:val="0"/>
          <w:numId w:val="2"/>
        </w:numPr>
        <w:rPr>
          <w:sz w:val="24"/>
          <w:szCs w:val="24"/>
        </w:rPr>
      </w:pPr>
      <w:r w:rsidRPr="00D22A7D">
        <w:rPr>
          <w:sz w:val="24"/>
          <w:szCs w:val="24"/>
        </w:rPr>
        <w:t>Limit Density: Opening of new takeaway food outlets will be restricted, where numbers exceed stated acceptable thresholds</w:t>
      </w:r>
    </w:p>
    <w:p w14:paraId="6F250F2C" w14:textId="53E505EC" w:rsidR="00D22A7D" w:rsidRPr="00D22A7D" w:rsidRDefault="00D22A7D" w:rsidP="00D22A7D">
      <w:pPr>
        <w:pStyle w:val="ListParagraph"/>
        <w:numPr>
          <w:ilvl w:val="0"/>
          <w:numId w:val="2"/>
        </w:numPr>
        <w:rPr>
          <w:sz w:val="24"/>
          <w:szCs w:val="24"/>
        </w:rPr>
      </w:pPr>
      <w:r w:rsidRPr="00D22A7D">
        <w:rPr>
          <w:sz w:val="24"/>
          <w:szCs w:val="24"/>
        </w:rPr>
        <w:t>Minimise Impact and Protect Vicinity: Potentially negative consequences associated with takeaway food outlet operation are to be minimised</w:t>
      </w:r>
    </w:p>
    <w:p w14:paraId="6E35FAA5" w14:textId="72C8896C" w:rsidR="00D22A7D" w:rsidRPr="00D22A7D" w:rsidRDefault="00D22A7D" w:rsidP="00D22A7D">
      <w:pPr>
        <w:pStyle w:val="ListParagraph"/>
        <w:numPr>
          <w:ilvl w:val="0"/>
          <w:numId w:val="2"/>
        </w:numPr>
        <w:rPr>
          <w:sz w:val="24"/>
          <w:szCs w:val="24"/>
        </w:rPr>
      </w:pPr>
      <w:r w:rsidRPr="00D22A7D">
        <w:rPr>
          <w:sz w:val="24"/>
          <w:szCs w:val="24"/>
        </w:rPr>
        <w:t>Other Strategies: Other approaches not common enough to receive individual classification</w:t>
      </w:r>
    </w:p>
    <w:p w14:paraId="07E30A38" w14:textId="11AA4C7A" w:rsidR="00D22A7D" w:rsidRDefault="00D22A7D" w:rsidP="00D22A7D">
      <w:pPr>
        <w:rPr>
          <w:sz w:val="24"/>
          <w:szCs w:val="24"/>
        </w:rPr>
      </w:pPr>
      <w:r>
        <w:rPr>
          <w:sz w:val="24"/>
          <w:szCs w:val="24"/>
        </w:rPr>
        <w:t xml:space="preserve">The places within which these strategies </w:t>
      </w:r>
      <w:r w:rsidR="002F028A">
        <w:rPr>
          <w:sz w:val="24"/>
          <w:szCs w:val="24"/>
        </w:rPr>
        <w:t>are</w:t>
      </w:r>
      <w:r>
        <w:rPr>
          <w:sz w:val="24"/>
          <w:szCs w:val="24"/>
        </w:rPr>
        <w:t xml:space="preserve"> employed include:</w:t>
      </w:r>
    </w:p>
    <w:p w14:paraId="3F86D6AC" w14:textId="37BDD00B" w:rsidR="00D22A7D" w:rsidRPr="00D22A7D" w:rsidRDefault="00D22A7D" w:rsidP="00D22A7D">
      <w:pPr>
        <w:pStyle w:val="ListParagraph"/>
        <w:numPr>
          <w:ilvl w:val="0"/>
          <w:numId w:val="3"/>
        </w:numPr>
        <w:rPr>
          <w:sz w:val="24"/>
          <w:szCs w:val="24"/>
        </w:rPr>
      </w:pPr>
      <w:r w:rsidRPr="00D22A7D">
        <w:rPr>
          <w:sz w:val="24"/>
          <w:szCs w:val="24"/>
        </w:rPr>
        <w:t>All Areas Within a Local Government Area Boundary: Planning criteria applied to all proposals within a local government area, regardless of specific location of proposed takeaway food outlet site</w:t>
      </w:r>
    </w:p>
    <w:p w14:paraId="32E6509D" w14:textId="585C41AE" w:rsidR="00D22A7D" w:rsidRPr="00D22A7D" w:rsidRDefault="00D22A7D" w:rsidP="00D22A7D">
      <w:pPr>
        <w:pStyle w:val="ListParagraph"/>
        <w:numPr>
          <w:ilvl w:val="0"/>
          <w:numId w:val="3"/>
        </w:numPr>
        <w:rPr>
          <w:sz w:val="24"/>
          <w:szCs w:val="24"/>
        </w:rPr>
      </w:pPr>
      <w:r w:rsidRPr="00D22A7D">
        <w:rPr>
          <w:sz w:val="24"/>
          <w:szCs w:val="24"/>
        </w:rPr>
        <w:t>Immediate Vicinity of Existing Hot Food Takeaway Outlet Site: The area immediately surrounding existing takeaway food outlet sites</w:t>
      </w:r>
    </w:p>
    <w:p w14:paraId="48AF5F7E" w14:textId="7CCE7EE4" w:rsidR="00D22A7D" w:rsidRPr="00D22A7D" w:rsidRDefault="00D22A7D" w:rsidP="00D22A7D">
      <w:pPr>
        <w:pStyle w:val="ListParagraph"/>
        <w:numPr>
          <w:ilvl w:val="0"/>
          <w:numId w:val="3"/>
        </w:numPr>
        <w:rPr>
          <w:sz w:val="24"/>
          <w:szCs w:val="24"/>
        </w:rPr>
      </w:pPr>
      <w:r w:rsidRPr="00D22A7D">
        <w:rPr>
          <w:sz w:val="24"/>
          <w:szCs w:val="24"/>
        </w:rPr>
        <w:t>Places for Children &amp; Families: Locations commonly used or attended by, young children accompanied by family members, and/or older children independently</w:t>
      </w:r>
    </w:p>
    <w:p w14:paraId="0AEF310E" w14:textId="4ED59279" w:rsidR="00D22A7D" w:rsidRPr="00D22A7D" w:rsidRDefault="00D22A7D" w:rsidP="00D22A7D">
      <w:pPr>
        <w:pStyle w:val="ListParagraph"/>
        <w:numPr>
          <w:ilvl w:val="0"/>
          <w:numId w:val="3"/>
        </w:numPr>
        <w:rPr>
          <w:sz w:val="24"/>
          <w:szCs w:val="24"/>
        </w:rPr>
      </w:pPr>
      <w:r w:rsidRPr="00D22A7D">
        <w:rPr>
          <w:sz w:val="24"/>
          <w:szCs w:val="24"/>
        </w:rPr>
        <w:t>Retail Areas: Designated retail zones. Sometimes referred to as ‘high-streets’</w:t>
      </w:r>
    </w:p>
    <w:p w14:paraId="703B5BC3" w14:textId="77777777" w:rsidR="00D22A7D" w:rsidRDefault="00D22A7D" w:rsidP="00D22A7D">
      <w:pPr>
        <w:pStyle w:val="ListParagraph"/>
        <w:numPr>
          <w:ilvl w:val="0"/>
          <w:numId w:val="3"/>
        </w:numPr>
        <w:rPr>
          <w:sz w:val="24"/>
          <w:szCs w:val="24"/>
        </w:rPr>
      </w:pPr>
      <w:r w:rsidRPr="00D22A7D">
        <w:rPr>
          <w:sz w:val="24"/>
          <w:szCs w:val="24"/>
        </w:rPr>
        <w:t xml:space="preserve">Residential Areas: Designated zones, mostly comprising residential housing </w:t>
      </w:r>
    </w:p>
    <w:p w14:paraId="14EEBA37" w14:textId="0D8CF6B2" w:rsidR="002F028A" w:rsidRPr="002F028A" w:rsidRDefault="002F028A" w:rsidP="002F028A">
      <w:pPr>
        <w:rPr>
          <w:b/>
          <w:bCs/>
          <w:sz w:val="24"/>
          <w:szCs w:val="24"/>
        </w:rPr>
      </w:pPr>
      <w:r w:rsidRPr="002F028A">
        <w:rPr>
          <w:b/>
          <w:bCs/>
          <w:sz w:val="24"/>
          <w:szCs w:val="24"/>
        </w:rPr>
        <w:t xml:space="preserve">Case study </w:t>
      </w:r>
    </w:p>
    <w:p w14:paraId="6A9767D9" w14:textId="52C7C643" w:rsidR="002F028A" w:rsidRDefault="002F028A" w:rsidP="002F028A">
      <w:pPr>
        <w:rPr>
          <w:sz w:val="24"/>
          <w:szCs w:val="24"/>
        </w:rPr>
      </w:pPr>
      <w:r w:rsidRPr="002F028A">
        <w:rPr>
          <w:sz w:val="24"/>
          <w:szCs w:val="24"/>
        </w:rPr>
        <w:t xml:space="preserve">Gateshead aimed to reduce </w:t>
      </w:r>
      <w:r>
        <w:rPr>
          <w:sz w:val="24"/>
          <w:szCs w:val="24"/>
        </w:rPr>
        <w:t>its childhood obesity</w:t>
      </w:r>
      <w:r w:rsidRPr="002F028A">
        <w:rPr>
          <w:sz w:val="24"/>
          <w:szCs w:val="24"/>
        </w:rPr>
        <w:t xml:space="preserve"> rate to less than 10% by 2025. To achieve this goal, it implemented all three types of planning guidance (a school exclusion zone, restricting new outlets by retail density, and restricting new outlets by childhood obesity rates). This </w:t>
      </w:r>
      <w:r>
        <w:rPr>
          <w:sz w:val="24"/>
          <w:szCs w:val="24"/>
        </w:rPr>
        <w:t>was</w:t>
      </w:r>
      <w:r w:rsidRPr="002F028A">
        <w:rPr>
          <w:sz w:val="24"/>
          <w:szCs w:val="24"/>
        </w:rPr>
        <w:t xml:space="preserve"> effectively a blanket ban on establishing a new premise for use as a fast-food outlet if the building was not already being used for that purpose. Buildings that were being used for fast-food could change ownership and continue to sell fast-food. </w:t>
      </w:r>
    </w:p>
    <w:p w14:paraId="03EE16AD" w14:textId="18AC1154" w:rsidR="002F028A" w:rsidRPr="002F028A" w:rsidRDefault="002F028A" w:rsidP="002F028A">
      <w:pPr>
        <w:rPr>
          <w:sz w:val="24"/>
          <w:szCs w:val="24"/>
        </w:rPr>
      </w:pPr>
      <w:r>
        <w:rPr>
          <w:sz w:val="24"/>
          <w:szCs w:val="24"/>
        </w:rPr>
        <w:t>The d</w:t>
      </w:r>
      <w:r w:rsidRPr="002F028A">
        <w:rPr>
          <w:sz w:val="24"/>
          <w:szCs w:val="24"/>
        </w:rPr>
        <w:t xml:space="preserve">ensity and proportion of fast-food outlets decreased compared to </w:t>
      </w:r>
      <w:r>
        <w:rPr>
          <w:sz w:val="24"/>
          <w:szCs w:val="24"/>
        </w:rPr>
        <w:t>other local authorities in the North East of England which had not implemented such guidance</w:t>
      </w:r>
      <w:r w:rsidRPr="002F028A">
        <w:rPr>
          <w:sz w:val="24"/>
          <w:szCs w:val="24"/>
        </w:rPr>
        <w:t>.</w:t>
      </w:r>
      <w:r w:rsidRPr="002F028A">
        <w:t xml:space="preserve"> </w:t>
      </w:r>
      <w:r w:rsidRPr="002F028A">
        <w:rPr>
          <w:sz w:val="24"/>
          <w:szCs w:val="24"/>
        </w:rPr>
        <w:t>There was not a significant reduction in the number of fast-food outlets after controlling for population density.</w:t>
      </w:r>
      <w:r>
        <w:rPr>
          <w:sz w:val="24"/>
          <w:szCs w:val="24"/>
        </w:rPr>
        <w:t xml:space="preserve"> </w:t>
      </w:r>
      <w:r w:rsidRPr="002F028A">
        <w:rPr>
          <w:sz w:val="24"/>
          <w:szCs w:val="24"/>
        </w:rPr>
        <w:t>Anecdotal evidence provided by the environmental health team in Gateshead, suggests that prospective business owners who applied for permission for a restaurant with ancillary take away service were able to circumvent the planning restrictions.</w:t>
      </w:r>
    </w:p>
    <w:p w14:paraId="0632AB28" w14:textId="62F16182" w:rsidR="002F028A" w:rsidRPr="00073842" w:rsidRDefault="002F028A" w:rsidP="00FF03BB">
      <w:pPr>
        <w:pStyle w:val="Heading1"/>
        <w:rPr>
          <w:color w:val="538135" w:themeColor="accent6" w:themeShade="BF"/>
        </w:rPr>
      </w:pPr>
      <w:r w:rsidRPr="00073842">
        <w:rPr>
          <w:color w:val="538135" w:themeColor="accent6" w:themeShade="BF"/>
        </w:rPr>
        <w:lastRenderedPageBreak/>
        <w:t xml:space="preserve">Case study </w:t>
      </w:r>
      <w:r>
        <w:rPr>
          <w:color w:val="538135" w:themeColor="accent6" w:themeShade="BF"/>
        </w:rPr>
        <w:t>5c</w:t>
      </w:r>
      <w:r w:rsidRPr="00073842">
        <w:rPr>
          <w:color w:val="538135" w:themeColor="accent6" w:themeShade="BF"/>
        </w:rPr>
        <w:t>.i</w:t>
      </w:r>
      <w:r>
        <w:rPr>
          <w:color w:val="538135" w:themeColor="accent6" w:themeShade="BF"/>
        </w:rPr>
        <w:t>ii</w:t>
      </w:r>
      <w:r w:rsidRPr="00073842">
        <w:rPr>
          <w:color w:val="538135" w:themeColor="accent6" w:themeShade="BF"/>
        </w:rPr>
        <w:t xml:space="preserve">. </w:t>
      </w:r>
      <w:r>
        <w:rPr>
          <w:color w:val="538135" w:themeColor="accent6" w:themeShade="BF"/>
        </w:rPr>
        <w:t xml:space="preserve"> </w:t>
      </w:r>
      <w:r w:rsidR="00A25F4E">
        <w:rPr>
          <w:color w:val="538135" w:themeColor="accent6" w:themeShade="BF"/>
        </w:rPr>
        <w:t xml:space="preserve">development of the </w:t>
      </w:r>
      <w:r>
        <w:rPr>
          <w:color w:val="538135" w:themeColor="accent6" w:themeShade="BF"/>
        </w:rPr>
        <w:t>i-MARK</w:t>
      </w:r>
      <w:r w:rsidR="00A25F4E">
        <w:rPr>
          <w:color w:val="538135" w:themeColor="accent6" w:themeShade="BF"/>
        </w:rPr>
        <w:t xml:space="preserve"> and education &amp; schools </w:t>
      </w:r>
    </w:p>
    <w:p w14:paraId="101A849F" w14:textId="65AEE65D" w:rsidR="002F028A" w:rsidRPr="00FF03BB" w:rsidRDefault="002F028A" w:rsidP="002F028A">
      <w:pPr>
        <w:rPr>
          <w:i/>
          <w:iCs/>
          <w:color w:val="385623" w:themeColor="accent6" w:themeShade="80"/>
          <w:sz w:val="24"/>
          <w:szCs w:val="24"/>
        </w:rPr>
      </w:pPr>
      <w:r w:rsidRPr="00FF03BB">
        <w:rPr>
          <w:i/>
          <w:iCs/>
          <w:color w:val="385623" w:themeColor="accent6" w:themeShade="80"/>
          <w:sz w:val="24"/>
          <w:szCs w:val="24"/>
        </w:rPr>
        <w:t>Acknowledgement: this case study was adapted from</w:t>
      </w:r>
      <w:r w:rsidR="00A25F4E" w:rsidRPr="00FF03BB">
        <w:rPr>
          <w:i/>
          <w:iCs/>
          <w:color w:val="385623" w:themeColor="accent6" w:themeShade="80"/>
          <w:sz w:val="24"/>
          <w:szCs w:val="24"/>
        </w:rPr>
        <w:t xml:space="preserve"> information on the Alcohol Forum Ireland website</w:t>
      </w:r>
      <w:r w:rsidRPr="00FF03BB">
        <w:rPr>
          <w:i/>
          <w:iCs/>
          <w:color w:val="385623" w:themeColor="accent6" w:themeShade="80"/>
          <w:sz w:val="24"/>
          <w:szCs w:val="24"/>
        </w:rPr>
        <w:t xml:space="preserve"> </w:t>
      </w:r>
      <w:hyperlink r:id="rId11" w:history="1">
        <w:r w:rsidR="00A25F4E" w:rsidRPr="00FF03BB">
          <w:rPr>
            <w:rStyle w:val="Hyperlink"/>
            <w:i/>
            <w:iCs/>
            <w:color w:val="385623" w:themeColor="accent6" w:themeShade="80"/>
            <w:sz w:val="24"/>
            <w:szCs w:val="24"/>
          </w:rPr>
          <w:t>https://alcoholforum.org/i-mark/</w:t>
        </w:r>
      </w:hyperlink>
      <w:r w:rsidR="00A25F4E" w:rsidRPr="00FF03BB">
        <w:rPr>
          <w:i/>
          <w:iCs/>
          <w:color w:val="385623" w:themeColor="accent6" w:themeShade="80"/>
          <w:sz w:val="24"/>
          <w:szCs w:val="24"/>
        </w:rPr>
        <w:t xml:space="preserve"> </w:t>
      </w:r>
      <w:r w:rsidRPr="00FF03BB">
        <w:rPr>
          <w:i/>
          <w:iCs/>
          <w:color w:val="385623" w:themeColor="accent6" w:themeShade="80"/>
          <w:sz w:val="24"/>
          <w:szCs w:val="24"/>
        </w:rPr>
        <w:t xml:space="preserve"> </w:t>
      </w:r>
      <w:r w:rsidR="00A25F4E" w:rsidRPr="00FF03BB">
        <w:rPr>
          <w:i/>
          <w:iCs/>
          <w:color w:val="385623" w:themeColor="accent6" w:themeShade="80"/>
          <w:sz w:val="24"/>
          <w:szCs w:val="24"/>
        </w:rPr>
        <w:t xml:space="preserve">and in ‘Denormalising alcohol industry activities in schools’ van Schalkwyk et al (2023) </w:t>
      </w:r>
      <w:hyperlink r:id="rId12" w:history="1">
        <w:r w:rsidR="00A25F4E" w:rsidRPr="00FF03BB">
          <w:rPr>
            <w:rStyle w:val="Hyperlink"/>
            <w:i/>
            <w:iCs/>
            <w:color w:val="385623" w:themeColor="accent6" w:themeShade="80"/>
            <w:sz w:val="24"/>
            <w:szCs w:val="24"/>
          </w:rPr>
          <w:t>https://www.thelancet.com/journals/lanpub/article/PIIS2468-2667(22)00341-3/fulltext</w:t>
        </w:r>
      </w:hyperlink>
      <w:r w:rsidR="00A25F4E" w:rsidRPr="00FF03BB">
        <w:rPr>
          <w:i/>
          <w:iCs/>
          <w:color w:val="385623" w:themeColor="accent6" w:themeShade="80"/>
          <w:sz w:val="24"/>
          <w:szCs w:val="24"/>
        </w:rPr>
        <w:t xml:space="preserve"> </w:t>
      </w:r>
    </w:p>
    <w:p w14:paraId="380F8A7F" w14:textId="45653309" w:rsidR="00A72629" w:rsidRPr="00A72629" w:rsidRDefault="00A72629" w:rsidP="00C53BD3">
      <w:pPr>
        <w:spacing w:after="0"/>
        <w:rPr>
          <w:b/>
          <w:bCs/>
          <w:sz w:val="24"/>
          <w:szCs w:val="24"/>
        </w:rPr>
      </w:pPr>
      <w:r w:rsidRPr="00A72629">
        <w:rPr>
          <w:b/>
          <w:bCs/>
          <w:sz w:val="24"/>
          <w:szCs w:val="24"/>
        </w:rPr>
        <w:t>Background</w:t>
      </w:r>
    </w:p>
    <w:p w14:paraId="2E7EAEC2" w14:textId="4CC8AC67" w:rsidR="00A72629" w:rsidRDefault="00A72629" w:rsidP="00A72629">
      <w:pPr>
        <w:rPr>
          <w:sz w:val="24"/>
          <w:szCs w:val="24"/>
        </w:rPr>
      </w:pPr>
      <w:r w:rsidRPr="00A25F4E">
        <w:rPr>
          <w:sz w:val="24"/>
          <w:szCs w:val="24"/>
        </w:rPr>
        <w:t xml:space="preserve">The I-Mark </w:t>
      </w:r>
      <w:r w:rsidRPr="002F5D50">
        <w:rPr>
          <w:sz w:val="24"/>
          <w:szCs w:val="24"/>
        </w:rPr>
        <w:t>Supporting Independence from Alcohol Industry Influence</w:t>
      </w:r>
      <w:r>
        <w:rPr>
          <w:sz w:val="24"/>
          <w:szCs w:val="24"/>
        </w:rPr>
        <w:t xml:space="preserve"> </w:t>
      </w:r>
      <w:r w:rsidRPr="00A25F4E">
        <w:rPr>
          <w:sz w:val="24"/>
          <w:szCs w:val="24"/>
        </w:rPr>
        <w:t>initiative</w:t>
      </w:r>
      <w:r>
        <w:rPr>
          <w:sz w:val="24"/>
          <w:szCs w:val="24"/>
        </w:rPr>
        <w:t xml:space="preserve"> </w:t>
      </w:r>
      <w:r w:rsidRPr="00A25F4E">
        <w:rPr>
          <w:sz w:val="24"/>
          <w:szCs w:val="24"/>
        </w:rPr>
        <w:t>includes a toolkit, a</w:t>
      </w:r>
      <w:r w:rsidR="00C53BD3">
        <w:rPr>
          <w:sz w:val="24"/>
          <w:szCs w:val="24"/>
        </w:rPr>
        <w:t>n</w:t>
      </w:r>
      <w:r w:rsidRPr="00A25F4E">
        <w:rPr>
          <w:sz w:val="24"/>
          <w:szCs w:val="24"/>
        </w:rPr>
        <w:t xml:space="preserve"> evidence</w:t>
      </w:r>
      <w:r w:rsidR="00C53BD3">
        <w:rPr>
          <w:sz w:val="24"/>
          <w:szCs w:val="24"/>
        </w:rPr>
        <w:t xml:space="preserve"> summary</w:t>
      </w:r>
      <w:r w:rsidRPr="00A25F4E">
        <w:rPr>
          <w:sz w:val="24"/>
          <w:szCs w:val="24"/>
        </w:rPr>
        <w:t xml:space="preserve">, a </w:t>
      </w:r>
      <w:r w:rsidR="00C53BD3" w:rsidRPr="00A25F4E">
        <w:rPr>
          <w:sz w:val="24"/>
          <w:szCs w:val="24"/>
        </w:rPr>
        <w:t xml:space="preserve">conflict-of-interest </w:t>
      </w:r>
      <w:r w:rsidRPr="00A25F4E">
        <w:rPr>
          <w:sz w:val="24"/>
          <w:szCs w:val="24"/>
        </w:rPr>
        <w:t>checklist to guide decision making and membership forms.</w:t>
      </w:r>
      <w:r>
        <w:rPr>
          <w:sz w:val="24"/>
          <w:szCs w:val="24"/>
        </w:rPr>
        <w:t xml:space="preserve"> </w:t>
      </w:r>
    </w:p>
    <w:p w14:paraId="5663BA55" w14:textId="2947C221" w:rsidR="00A72629" w:rsidRDefault="00A72629" w:rsidP="002F5D50">
      <w:pPr>
        <w:rPr>
          <w:sz w:val="24"/>
          <w:szCs w:val="24"/>
        </w:rPr>
      </w:pPr>
      <w:r>
        <w:rPr>
          <w:sz w:val="24"/>
          <w:szCs w:val="24"/>
        </w:rPr>
        <w:t>G</w:t>
      </w:r>
      <w:r w:rsidRPr="002F5D50">
        <w:rPr>
          <w:sz w:val="24"/>
          <w:szCs w:val="24"/>
        </w:rPr>
        <w:t>uidance from the Irish Departments of Health and Education is that schools should not use alcohol industry-funded educational materials.</w:t>
      </w:r>
    </w:p>
    <w:p w14:paraId="2BC780E7" w14:textId="429BA3BF" w:rsidR="00A72629" w:rsidRDefault="00A72629" w:rsidP="00A72629">
      <w:pPr>
        <w:rPr>
          <w:sz w:val="24"/>
          <w:szCs w:val="24"/>
        </w:rPr>
      </w:pPr>
      <w:r>
        <w:rPr>
          <w:sz w:val="24"/>
          <w:szCs w:val="24"/>
        </w:rPr>
        <w:t xml:space="preserve">Some of the issues are set out in a </w:t>
      </w:r>
      <w:hyperlink r:id="rId13" w:history="1">
        <w:r w:rsidRPr="00C53BD3">
          <w:rPr>
            <w:rStyle w:val="Hyperlink"/>
            <w:sz w:val="24"/>
            <w:szCs w:val="24"/>
          </w:rPr>
          <w:t>journal article</w:t>
        </w:r>
      </w:hyperlink>
      <w:r>
        <w:rPr>
          <w:sz w:val="24"/>
          <w:szCs w:val="24"/>
        </w:rPr>
        <w:t>:</w:t>
      </w:r>
    </w:p>
    <w:p w14:paraId="36C7A497" w14:textId="52E09933" w:rsidR="00A72629" w:rsidRPr="00A72629" w:rsidRDefault="00C53BD3" w:rsidP="00C53BD3">
      <w:pPr>
        <w:pStyle w:val="ListParagraph"/>
        <w:numPr>
          <w:ilvl w:val="0"/>
          <w:numId w:val="4"/>
        </w:numPr>
        <w:ind w:left="426" w:hanging="284"/>
        <w:rPr>
          <w:sz w:val="24"/>
          <w:szCs w:val="24"/>
        </w:rPr>
      </w:pPr>
      <w:r>
        <w:rPr>
          <w:sz w:val="24"/>
          <w:szCs w:val="24"/>
        </w:rPr>
        <w:t>F</w:t>
      </w:r>
      <w:r w:rsidR="00A72629" w:rsidRPr="00A72629">
        <w:rPr>
          <w:sz w:val="24"/>
          <w:szCs w:val="24"/>
        </w:rPr>
        <w:t>iduciary responsibility to shareholders</w:t>
      </w:r>
      <w:r>
        <w:rPr>
          <w:sz w:val="24"/>
          <w:szCs w:val="24"/>
        </w:rPr>
        <w:t xml:space="preserve"> means </w:t>
      </w:r>
      <w:r w:rsidR="00A72629" w:rsidRPr="00A72629">
        <w:rPr>
          <w:sz w:val="24"/>
          <w:szCs w:val="24"/>
        </w:rPr>
        <w:t xml:space="preserve">corporations are unable to support programmes that threaten their business interests. </w:t>
      </w:r>
    </w:p>
    <w:p w14:paraId="7D3CDCDE" w14:textId="77777777" w:rsidR="00A72629" w:rsidRPr="00A72629" w:rsidRDefault="00A72629" w:rsidP="00C53BD3">
      <w:pPr>
        <w:pStyle w:val="ListParagraph"/>
        <w:numPr>
          <w:ilvl w:val="0"/>
          <w:numId w:val="4"/>
        </w:numPr>
        <w:ind w:left="426" w:hanging="284"/>
        <w:rPr>
          <w:sz w:val="24"/>
          <w:szCs w:val="24"/>
        </w:rPr>
      </w:pPr>
      <w:r w:rsidRPr="00A72629">
        <w:rPr>
          <w:sz w:val="24"/>
          <w:szCs w:val="24"/>
        </w:rPr>
        <w:t xml:space="preserve">Previous studies reveal that the type of youth education programmes supported by harmful industries </w:t>
      </w:r>
    </w:p>
    <w:p w14:paraId="40BBE7C5" w14:textId="77777777" w:rsidR="00A72629" w:rsidRPr="00A72629" w:rsidRDefault="00A72629" w:rsidP="00A72629">
      <w:pPr>
        <w:pStyle w:val="ListParagraph"/>
        <w:numPr>
          <w:ilvl w:val="1"/>
          <w:numId w:val="4"/>
        </w:numPr>
        <w:rPr>
          <w:sz w:val="24"/>
          <w:szCs w:val="24"/>
        </w:rPr>
      </w:pPr>
      <w:r w:rsidRPr="00A72629">
        <w:rPr>
          <w:sz w:val="24"/>
          <w:szCs w:val="24"/>
        </w:rPr>
        <w:t xml:space="preserve">normalise those industries’ products and their position in society; </w:t>
      </w:r>
    </w:p>
    <w:p w14:paraId="28F371DC" w14:textId="77777777" w:rsidR="00A72629" w:rsidRPr="00A72629" w:rsidRDefault="00A72629" w:rsidP="00A72629">
      <w:pPr>
        <w:pStyle w:val="ListParagraph"/>
        <w:numPr>
          <w:ilvl w:val="1"/>
          <w:numId w:val="4"/>
        </w:numPr>
        <w:rPr>
          <w:sz w:val="24"/>
          <w:szCs w:val="24"/>
        </w:rPr>
      </w:pPr>
      <w:r w:rsidRPr="00A72629">
        <w:rPr>
          <w:sz w:val="24"/>
          <w:szCs w:val="24"/>
        </w:rPr>
        <w:t xml:space="preserve">distort the evidence on risks of harm; </w:t>
      </w:r>
    </w:p>
    <w:p w14:paraId="783A9273" w14:textId="77777777" w:rsidR="00A72629" w:rsidRPr="00A72629" w:rsidRDefault="00A72629" w:rsidP="00A72629">
      <w:pPr>
        <w:pStyle w:val="ListParagraph"/>
        <w:numPr>
          <w:ilvl w:val="1"/>
          <w:numId w:val="4"/>
        </w:numPr>
        <w:rPr>
          <w:sz w:val="24"/>
          <w:szCs w:val="24"/>
        </w:rPr>
      </w:pPr>
      <w:r w:rsidRPr="00A72629">
        <w:rPr>
          <w:sz w:val="24"/>
          <w:szCs w:val="24"/>
        </w:rPr>
        <w:t xml:space="preserve">cast children, young people, their choices, peers, and behaviours as the problem; </w:t>
      </w:r>
    </w:p>
    <w:p w14:paraId="01693A85" w14:textId="77777777" w:rsidR="00A72629" w:rsidRPr="00A72629" w:rsidRDefault="00A72629" w:rsidP="00A72629">
      <w:pPr>
        <w:pStyle w:val="ListParagraph"/>
        <w:numPr>
          <w:ilvl w:val="1"/>
          <w:numId w:val="4"/>
        </w:numPr>
        <w:rPr>
          <w:sz w:val="24"/>
          <w:szCs w:val="24"/>
        </w:rPr>
      </w:pPr>
      <w:r w:rsidRPr="00A72629">
        <w:rPr>
          <w:sz w:val="24"/>
          <w:szCs w:val="24"/>
        </w:rPr>
        <w:t xml:space="preserve">adopt personal responsibility framings that echo industry-promoted narratives; </w:t>
      </w:r>
    </w:p>
    <w:p w14:paraId="3D221BB7" w14:textId="498AC568" w:rsidR="0023443A" w:rsidRPr="0023443A" w:rsidRDefault="00A72629" w:rsidP="002F5D50">
      <w:pPr>
        <w:pStyle w:val="ListParagraph"/>
        <w:numPr>
          <w:ilvl w:val="1"/>
          <w:numId w:val="4"/>
        </w:numPr>
        <w:rPr>
          <w:sz w:val="24"/>
          <w:szCs w:val="24"/>
        </w:rPr>
      </w:pPr>
      <w:r w:rsidRPr="00A72629">
        <w:rPr>
          <w:sz w:val="24"/>
          <w:szCs w:val="24"/>
        </w:rPr>
        <w:t>focus on individual-level or technological solutions.</w:t>
      </w:r>
    </w:p>
    <w:p w14:paraId="6B2770FD" w14:textId="3523E557" w:rsidR="00A72629" w:rsidRPr="00A72629" w:rsidRDefault="00A72629" w:rsidP="00C53BD3">
      <w:pPr>
        <w:spacing w:after="0"/>
        <w:rPr>
          <w:b/>
          <w:bCs/>
          <w:sz w:val="24"/>
          <w:szCs w:val="24"/>
        </w:rPr>
      </w:pPr>
      <w:r w:rsidRPr="00A72629">
        <w:rPr>
          <w:b/>
          <w:bCs/>
          <w:sz w:val="24"/>
          <w:szCs w:val="24"/>
        </w:rPr>
        <w:t xml:space="preserve">Case study </w:t>
      </w:r>
    </w:p>
    <w:p w14:paraId="1BE364D3" w14:textId="2F9FFAD0" w:rsidR="002F5D50" w:rsidRPr="002F5D50" w:rsidRDefault="002F5D50" w:rsidP="002F5D50">
      <w:pPr>
        <w:rPr>
          <w:sz w:val="24"/>
          <w:szCs w:val="24"/>
        </w:rPr>
      </w:pPr>
      <w:r w:rsidRPr="002F5D50">
        <w:rPr>
          <w:sz w:val="24"/>
          <w:szCs w:val="24"/>
        </w:rPr>
        <w:t xml:space="preserve">Paula Leonard from Alcohol Forum Ireland </w:t>
      </w:r>
      <w:r>
        <w:rPr>
          <w:sz w:val="24"/>
          <w:szCs w:val="24"/>
        </w:rPr>
        <w:t>explains</w:t>
      </w:r>
      <w:r w:rsidRPr="002F5D50">
        <w:rPr>
          <w:sz w:val="24"/>
          <w:szCs w:val="24"/>
        </w:rPr>
        <w:t xml:space="preserve"> how the initiative was developed in response to concerns across communities in Ireland</w:t>
      </w:r>
      <w:r w:rsidR="00C53BD3">
        <w:rPr>
          <w:sz w:val="24"/>
          <w:szCs w:val="24"/>
        </w:rPr>
        <w:t xml:space="preserve"> (</w:t>
      </w:r>
      <w:hyperlink r:id="rId14" w:history="1">
        <w:r w:rsidR="00C53BD3" w:rsidRPr="001646D9">
          <w:rPr>
            <w:rStyle w:val="Hyperlink"/>
            <w:sz w:val="24"/>
            <w:szCs w:val="24"/>
          </w:rPr>
          <w:t>https://alcoholcampaign.org/2022/03/14/i-mark/</w:t>
        </w:r>
      </w:hyperlink>
      <w:r w:rsidR="00C53BD3">
        <w:rPr>
          <w:sz w:val="24"/>
          <w:szCs w:val="24"/>
        </w:rPr>
        <w:t>)</w:t>
      </w:r>
      <w:r w:rsidRPr="002F5D50">
        <w:rPr>
          <w:sz w:val="24"/>
          <w:szCs w:val="24"/>
        </w:rPr>
        <w:t>:</w:t>
      </w:r>
    </w:p>
    <w:p w14:paraId="5FC8F89B" w14:textId="2765BC34" w:rsidR="002F5D50" w:rsidRDefault="002F5D50" w:rsidP="002F5D50">
      <w:pPr>
        <w:rPr>
          <w:sz w:val="24"/>
          <w:szCs w:val="24"/>
        </w:rPr>
      </w:pPr>
      <w:r w:rsidRPr="002F5D50">
        <w:rPr>
          <w:sz w:val="24"/>
          <w:szCs w:val="24"/>
        </w:rPr>
        <w:t>“Five years ago, when we formed the Irish Community Action on Alcohol Network (ICAAN), we were very concerned about the activities of the alcohol industry and alcohol industry funded organisations in attempting to influence health policy. They have no expertise in delivering programmes to our children in schools, but they are good at promoting their brand names so that our children and their parents form a good impression of them. They have no expertise in distributing health information about alcohol, but they do have good reasons to minimize the harms from their products. And they have no expertise in promoting research on alcohol, but their funding of scientists does create a conflict of interest that interferes with the development of unbiased science. What they are good at is finding ways to interfere with effective alcohol policies that will reduce the excessive amounts of drinking by our youth and adults. In those early years we struggled; focusing on the power, the resources and influence of the industry. But over the last year, we committed to building a movement to challenge the industry influence.</w:t>
      </w:r>
      <w:r>
        <w:rPr>
          <w:sz w:val="24"/>
          <w:szCs w:val="24"/>
        </w:rPr>
        <w:t xml:space="preserve">” </w:t>
      </w:r>
    </w:p>
    <w:p w14:paraId="1DAF24C7" w14:textId="4D8F7E27" w:rsidR="002F5D50" w:rsidRDefault="002F5D50">
      <w:pPr>
        <w:rPr>
          <w:sz w:val="24"/>
          <w:szCs w:val="24"/>
        </w:rPr>
      </w:pPr>
      <w:r>
        <w:rPr>
          <w:sz w:val="24"/>
          <w:szCs w:val="24"/>
        </w:rPr>
        <w:t>Following the launch of the I-MARK</w:t>
      </w:r>
      <w:r w:rsidR="00C53BD3">
        <w:rPr>
          <w:sz w:val="24"/>
          <w:szCs w:val="24"/>
        </w:rPr>
        <w:t xml:space="preserve"> (March 2022)</w:t>
      </w:r>
      <w:r>
        <w:rPr>
          <w:sz w:val="24"/>
          <w:szCs w:val="24"/>
        </w:rPr>
        <w:t xml:space="preserve">, there was particular interest in </w:t>
      </w:r>
      <w:r w:rsidR="00C53BD3">
        <w:rPr>
          <w:sz w:val="24"/>
          <w:szCs w:val="24"/>
        </w:rPr>
        <w:t>alcohol industry</w:t>
      </w:r>
      <w:r>
        <w:rPr>
          <w:sz w:val="24"/>
          <w:szCs w:val="24"/>
        </w:rPr>
        <w:t xml:space="preserve"> involvement in education. Media coverage highlighted that materials from industry-funded organisations were being used in some schools (</w:t>
      </w:r>
      <w:hyperlink r:id="rId15" w:history="1">
        <w:r w:rsidRPr="001646D9">
          <w:rPr>
            <w:rStyle w:val="Hyperlink"/>
            <w:sz w:val="24"/>
            <w:szCs w:val="24"/>
          </w:rPr>
          <w:t>https://www.irishexaminer.com/news/arid-40974134.html</w:t>
        </w:r>
      </w:hyperlink>
      <w:r>
        <w:rPr>
          <w:sz w:val="24"/>
          <w:szCs w:val="24"/>
        </w:rPr>
        <w:t xml:space="preserve">).  </w:t>
      </w:r>
    </w:p>
    <w:p w14:paraId="040EE11C" w14:textId="0AD4BDFB" w:rsidR="00F33931" w:rsidRDefault="00A72629" w:rsidP="006D4D16">
      <w:pPr>
        <w:rPr>
          <w:sz w:val="24"/>
          <w:szCs w:val="24"/>
        </w:rPr>
      </w:pPr>
      <w:r>
        <w:rPr>
          <w:sz w:val="24"/>
          <w:szCs w:val="24"/>
        </w:rPr>
        <w:t xml:space="preserve">In December 2022, </w:t>
      </w:r>
      <w:r w:rsidRPr="00A72629">
        <w:rPr>
          <w:sz w:val="24"/>
          <w:szCs w:val="24"/>
        </w:rPr>
        <w:t>the Irish Department of Education and Health Service Executive issued a formal letter to all schools explicitly warning them against using materials funded by the alcohol industry. The letter recognises that funding by the alcohol industry represents a conflict of interest and goes on to state: “In the same way, these guidelines apply in regard to resources funded by other industry sectors where there is a potential conflict of interest”.</w:t>
      </w:r>
      <w:r>
        <w:rPr>
          <w:sz w:val="24"/>
          <w:szCs w:val="24"/>
        </w:rPr>
        <w:t xml:space="preserve"> (</w:t>
      </w:r>
      <w:hyperlink r:id="rId16" w:history="1">
        <w:r w:rsidRPr="001646D9">
          <w:rPr>
            <w:rStyle w:val="Hyperlink"/>
            <w:sz w:val="24"/>
            <w:szCs w:val="24"/>
          </w:rPr>
          <w:t>https://www.thelancet.com/journals/lanpub/article/PIIS2468-2667(22)00341-3/fulltext</w:t>
        </w:r>
      </w:hyperlink>
      <w:r>
        <w:rPr>
          <w:sz w:val="24"/>
          <w:szCs w:val="24"/>
        </w:rPr>
        <w:t xml:space="preserve">) </w:t>
      </w:r>
      <w:r w:rsidR="00B16A02">
        <w:rPr>
          <w:sz w:val="24"/>
          <w:szCs w:val="24"/>
        </w:rPr>
        <w:t xml:space="preserve"> </w:t>
      </w:r>
    </w:p>
    <w:sectPr w:rsidR="00F33931" w:rsidSect="0024662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0180" w14:textId="77777777" w:rsidR="00DB4475" w:rsidRDefault="00DB4475" w:rsidP="00FF03BB">
      <w:pPr>
        <w:spacing w:after="0" w:line="240" w:lineRule="auto"/>
      </w:pPr>
      <w:r>
        <w:separator/>
      </w:r>
    </w:p>
  </w:endnote>
  <w:endnote w:type="continuationSeparator" w:id="0">
    <w:p w14:paraId="795582F6" w14:textId="77777777" w:rsidR="00DB4475" w:rsidRDefault="00DB4475" w:rsidP="00FF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B3D" w14:textId="1E69A4CA" w:rsidR="00FF03BB" w:rsidRDefault="00FF03BB">
    <w:pPr>
      <w:pStyle w:val="Footer"/>
    </w:pPr>
    <w:r>
      <w:rPr>
        <w:noProof/>
      </w:rPr>
      <mc:AlternateContent>
        <mc:Choice Requires="wps">
          <w:drawing>
            <wp:anchor distT="0" distB="0" distL="114300" distR="114300" simplePos="0" relativeHeight="251663360" behindDoc="0" locked="0" layoutInCell="1" allowOverlap="1" wp14:anchorId="55E3AD27" wp14:editId="1A768DDB">
              <wp:simplePos x="0" y="0"/>
              <wp:positionH relativeFrom="column">
                <wp:posOffset>-447675</wp:posOffset>
              </wp:positionH>
              <wp:positionV relativeFrom="paragraph">
                <wp:posOffset>-3810</wp:posOffset>
              </wp:positionV>
              <wp:extent cx="7534275" cy="6191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534275"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E4F8D7" w14:textId="77777777" w:rsidR="00FF03BB" w:rsidRPr="008260BB" w:rsidRDefault="00FF03BB" w:rsidP="00FF03BB">
                          <w:pPr>
                            <w:jc w:val="right"/>
                            <w:rPr>
                              <w:color w:val="538135" w:themeColor="accent6" w:themeShade="BF"/>
                            </w:rPr>
                          </w:pPr>
                          <w:bookmarkStart w:id="2" w:name="_Hlk161151532"/>
                          <w:bookmarkStart w:id="3" w:name="_Hlk161151533"/>
                          <w:r w:rsidRPr="008260BB">
                            <w:rPr>
                              <w:color w:val="538135" w:themeColor="accent6" w:themeShade="BF"/>
                            </w:rPr>
                            <w:t>This document is part of CDoH Essentials (2024) Brook et al</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3AD27" id="Rectangle 9" o:spid="_x0000_s1026" style="position:absolute;margin-left:-35.25pt;margin-top:-.3pt;width:593.2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" fillcolor="#e2efd9 [665]" stroked="f" strokeweight="1pt">
              <v:textbox>
                <w:txbxContent>
                  <w:p w14:paraId="7DE4F8D7" w14:textId="77777777" w:rsidR="00FF03BB" w:rsidRPr="008260BB" w:rsidRDefault="00FF03BB" w:rsidP="00FF03BB">
                    <w:pPr>
                      <w:jc w:val="right"/>
                      <w:rPr>
                        <w:color w:val="538135" w:themeColor="accent6" w:themeShade="BF"/>
                      </w:rPr>
                    </w:pPr>
                    <w:bookmarkStart w:id="4" w:name="_Hlk161151532"/>
                    <w:bookmarkStart w:id="5" w:name="_Hlk161151533"/>
                    <w:r w:rsidRPr="008260BB">
                      <w:rPr>
                        <w:color w:val="538135" w:themeColor="accent6" w:themeShade="BF"/>
                      </w:rPr>
                      <w:t>This document is part of CDoH Essentials (2024) Brook et al</w:t>
                    </w:r>
                    <w:bookmarkEnd w:id="4"/>
                    <w:bookmarkEnd w:id="5"/>
                  </w:p>
                </w:txbxContent>
              </v:textbox>
            </v:rect>
          </w:pict>
        </mc:Fallback>
      </mc:AlternateContent>
    </w:r>
    <w:r>
      <w:rPr>
        <w:noProof/>
      </w:rPr>
      <w:drawing>
        <wp:anchor distT="0" distB="0" distL="114300" distR="114300" simplePos="0" relativeHeight="251664384" behindDoc="0" locked="0" layoutInCell="1" allowOverlap="1" wp14:anchorId="512CD87C" wp14:editId="4079E34A">
          <wp:simplePos x="0" y="0"/>
          <wp:positionH relativeFrom="margin">
            <wp:posOffset>-323215</wp:posOffset>
          </wp:positionH>
          <wp:positionV relativeFrom="paragraph">
            <wp:posOffset>15240</wp:posOffset>
          </wp:positionV>
          <wp:extent cx="457200" cy="457200"/>
          <wp:effectExtent l="0" t="0" r="0" b="0"/>
          <wp:wrapNone/>
          <wp:docPr id="10" name="Graphic 10"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F116A59" wp14:editId="7A299159">
          <wp:simplePos x="0" y="0"/>
          <wp:positionH relativeFrom="margin">
            <wp:posOffset>-132715</wp:posOffset>
          </wp:positionH>
          <wp:positionV relativeFrom="paragraph">
            <wp:posOffset>157480</wp:posOffset>
          </wp:positionV>
          <wp:extent cx="466725" cy="466725"/>
          <wp:effectExtent l="0" t="0" r="0" b="9525"/>
          <wp:wrapNone/>
          <wp:docPr id="3" name="Graphic 3"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ar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EC91E9A" wp14:editId="7CBCF672">
              <wp:simplePos x="0" y="0"/>
              <wp:positionH relativeFrom="column">
                <wp:posOffset>-447675</wp:posOffset>
              </wp:positionH>
              <wp:positionV relativeFrom="paragraph">
                <wp:posOffset>0</wp:posOffset>
              </wp:positionV>
              <wp:extent cx="12192000" cy="619125"/>
              <wp:effectExtent l="0" t="0" r="0" b="9525"/>
              <wp:wrapNone/>
              <wp:docPr id="7" name="Rectangle 6">
                <a:extLst xmlns:a="http://schemas.openxmlformats.org/drawingml/2006/main">
                  <a:ext uri="{FF2B5EF4-FFF2-40B4-BE49-F238E27FC236}">
                    <a16:creationId xmlns:a16="http://schemas.microsoft.com/office/drawing/2014/main" id="{7CD811DC-5F54-D92D-461A-4DED358A94F0}"/>
                  </a:ext>
                </a:extLst>
              </wp:docPr>
              <wp:cNvGraphicFramePr/>
              <a:graphic xmlns:a="http://schemas.openxmlformats.org/drawingml/2006/main">
                <a:graphicData uri="http://schemas.microsoft.com/office/word/2010/wordprocessingShape">
                  <wps:wsp>
                    <wps:cNvSpPr/>
                    <wps:spPr>
                      <a:xfrm>
                        <a:off x="0" y="0"/>
                        <a:ext cx="12192000" cy="619125"/>
                      </a:xfrm>
                      <a:prstGeom prst="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334AB5" w14:textId="77777777" w:rsidR="00FF03BB" w:rsidRDefault="00FF03BB" w:rsidP="00FF03BB">
                          <w:pPr>
                            <w:spacing w:line="256" w:lineRule="auto"/>
                            <w:jc w:val="right"/>
                            <w:rPr>
                              <w:rFonts w:eastAsia="DengXian" w:hAnsi="Calibri"/>
                              <w:color w:val="385623" w:themeColor="accent6" w:themeShade="80"/>
                              <w:kern w:val="24"/>
                              <w:sz w:val="28"/>
                              <w:szCs w:val="28"/>
                            </w:rPr>
                          </w:pPr>
                          <w:r>
                            <w:rPr>
                              <w:rFonts w:eastAsia="DengXian" w:hAnsi="Calibri"/>
                              <w:color w:val="385623" w:themeColor="accent6" w:themeShade="80"/>
                              <w:kern w:val="24"/>
                              <w:sz w:val="28"/>
                              <w:szCs w:val="28"/>
                            </w:rPr>
                            <w:t>This document is part of CDoH Essentials (2024) Brook et 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91E9A" id="Rectangle 6" o:spid="_x0000_s1027" style="position:absolute;margin-left:-35.25pt;margin-top:0;width:960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" fillcolor="#e2efd9 [665]" stroked="f" strokeweight="1pt">
              <v:textbox>
                <w:txbxContent>
                  <w:p w14:paraId="7F334AB5" w14:textId="77777777" w:rsidR="00FF03BB" w:rsidRDefault="00FF03BB" w:rsidP="00FF03BB">
                    <w:pPr>
                      <w:spacing w:line="256" w:lineRule="auto"/>
                      <w:jc w:val="right"/>
                      <w:rPr>
                        <w:rFonts w:eastAsia="DengXian" w:hAnsi="Calibri"/>
                        <w:color w:val="385623" w:themeColor="accent6" w:themeShade="80"/>
                        <w:kern w:val="24"/>
                        <w:sz w:val="28"/>
                        <w:szCs w:val="28"/>
                      </w:rPr>
                    </w:pPr>
                    <w:r>
                      <w:rPr>
                        <w:rFonts w:eastAsia="DengXian" w:hAnsi="Calibri"/>
                        <w:color w:val="385623" w:themeColor="accent6" w:themeShade="80"/>
                        <w:kern w:val="24"/>
                        <w:sz w:val="28"/>
                        <w:szCs w:val="28"/>
                      </w:rPr>
                      <w:t>This document is part of CDoH Essentials (2024) Brook et al</w:t>
                    </w:r>
                  </w:p>
                </w:txbxContent>
              </v:textbox>
            </v:rect>
          </w:pict>
        </mc:Fallback>
      </mc:AlternateContent>
    </w:r>
    <w:r>
      <w:rPr>
        <w:noProof/>
      </w:rPr>
      <w:drawing>
        <wp:anchor distT="0" distB="0" distL="114300" distR="114300" simplePos="0" relativeHeight="251660288" behindDoc="0" locked="0" layoutInCell="1" allowOverlap="1" wp14:anchorId="16D627CA" wp14:editId="7B73DDDF">
          <wp:simplePos x="0" y="0"/>
          <wp:positionH relativeFrom="column">
            <wp:posOffset>-358775</wp:posOffset>
          </wp:positionH>
          <wp:positionV relativeFrom="paragraph">
            <wp:posOffset>10160</wp:posOffset>
          </wp:positionV>
          <wp:extent cx="457200" cy="457200"/>
          <wp:effectExtent l="0" t="0" r="0" b="0"/>
          <wp:wrapNone/>
          <wp:docPr id="5" name="Graphic 5" descr="Single gear with solid fill">
            <a:extLst xmlns:a="http://schemas.openxmlformats.org/drawingml/2006/main">
              <a:ext uri="{FF2B5EF4-FFF2-40B4-BE49-F238E27FC236}">
                <a16:creationId xmlns:a16="http://schemas.microsoft.com/office/drawing/2014/main" id="{F03D41FB-1F20-2D7B-DD26-E4B75C4E06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ngle gear with solid fill">
                    <a:extLst>
                      <a:ext uri="{FF2B5EF4-FFF2-40B4-BE49-F238E27FC236}">
                        <a16:creationId xmlns:a16="http://schemas.microsoft.com/office/drawing/2014/main" id="{F03D41FB-1F20-2D7B-DD26-E4B75C4E069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anchor>
      </w:drawing>
    </w:r>
    <w:r>
      <w:rPr>
        <w:noProof/>
      </w:rPr>
      <w:drawing>
        <wp:anchor distT="0" distB="0" distL="114300" distR="114300" simplePos="0" relativeHeight="251661312" behindDoc="0" locked="0" layoutInCell="1" allowOverlap="1" wp14:anchorId="7B3EEF77" wp14:editId="04D1B0AF">
          <wp:simplePos x="0" y="0"/>
          <wp:positionH relativeFrom="column">
            <wp:posOffset>-168910</wp:posOffset>
          </wp:positionH>
          <wp:positionV relativeFrom="paragraph">
            <wp:posOffset>152400</wp:posOffset>
          </wp:positionV>
          <wp:extent cx="466725" cy="466725"/>
          <wp:effectExtent l="0" t="0" r="0" b="9525"/>
          <wp:wrapNone/>
          <wp:docPr id="6" name="Graphic 3" descr="Gears with solid fill">
            <a:extLst xmlns:a="http://schemas.openxmlformats.org/drawingml/2006/main">
              <a:ext uri="{FF2B5EF4-FFF2-40B4-BE49-F238E27FC236}">
                <a16:creationId xmlns:a16="http://schemas.microsoft.com/office/drawing/2014/main" id="{4525BD92-1C8E-9E04-F35E-5928023EBB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3" descr="Gears with solid fill">
                    <a:extLst>
                      <a:ext uri="{FF2B5EF4-FFF2-40B4-BE49-F238E27FC236}">
                        <a16:creationId xmlns:a16="http://schemas.microsoft.com/office/drawing/2014/main" id="{4525BD92-1C8E-9E04-F35E-5928023EBB7C}"/>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66725" cy="466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407F" w14:textId="77777777" w:rsidR="00DB4475" w:rsidRDefault="00DB4475" w:rsidP="00FF03BB">
      <w:pPr>
        <w:spacing w:after="0" w:line="240" w:lineRule="auto"/>
      </w:pPr>
      <w:r>
        <w:separator/>
      </w:r>
    </w:p>
  </w:footnote>
  <w:footnote w:type="continuationSeparator" w:id="0">
    <w:p w14:paraId="4DB00F77" w14:textId="77777777" w:rsidR="00DB4475" w:rsidRDefault="00DB4475" w:rsidP="00FF0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4E"/>
    <w:multiLevelType w:val="hybridMultilevel"/>
    <w:tmpl w:val="C88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F5570"/>
    <w:multiLevelType w:val="hybridMultilevel"/>
    <w:tmpl w:val="3F145798"/>
    <w:lvl w:ilvl="0" w:tplc="77660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86B7C"/>
    <w:multiLevelType w:val="hybridMultilevel"/>
    <w:tmpl w:val="92E0364A"/>
    <w:lvl w:ilvl="0" w:tplc="ACC0DDB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A4959"/>
    <w:multiLevelType w:val="hybridMultilevel"/>
    <w:tmpl w:val="5DCE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E5881"/>
    <w:multiLevelType w:val="hybridMultilevel"/>
    <w:tmpl w:val="34A61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6500C"/>
    <w:multiLevelType w:val="hybridMultilevel"/>
    <w:tmpl w:val="6088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268345">
    <w:abstractNumId w:val="0"/>
  </w:num>
  <w:num w:numId="2" w16cid:durableId="417679620">
    <w:abstractNumId w:val="3"/>
  </w:num>
  <w:num w:numId="3" w16cid:durableId="1190097476">
    <w:abstractNumId w:val="5"/>
  </w:num>
  <w:num w:numId="4" w16cid:durableId="1188324631">
    <w:abstractNumId w:val="4"/>
  </w:num>
  <w:num w:numId="5" w16cid:durableId="1232278560">
    <w:abstractNumId w:val="1"/>
  </w:num>
  <w:num w:numId="6" w16cid:durableId="630328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2D"/>
    <w:rsid w:val="00047E37"/>
    <w:rsid w:val="00073842"/>
    <w:rsid w:val="001B5AC9"/>
    <w:rsid w:val="001E28DE"/>
    <w:rsid w:val="0023443A"/>
    <w:rsid w:val="0024662D"/>
    <w:rsid w:val="002E1655"/>
    <w:rsid w:val="002F028A"/>
    <w:rsid w:val="002F5D50"/>
    <w:rsid w:val="0035346E"/>
    <w:rsid w:val="003566CB"/>
    <w:rsid w:val="003C44DB"/>
    <w:rsid w:val="003E58A4"/>
    <w:rsid w:val="004C6411"/>
    <w:rsid w:val="005875A3"/>
    <w:rsid w:val="005D3479"/>
    <w:rsid w:val="005D6251"/>
    <w:rsid w:val="005E63D7"/>
    <w:rsid w:val="00677E60"/>
    <w:rsid w:val="00686ABF"/>
    <w:rsid w:val="006B1100"/>
    <w:rsid w:val="006D4D16"/>
    <w:rsid w:val="00716BFA"/>
    <w:rsid w:val="00855684"/>
    <w:rsid w:val="009F62A6"/>
    <w:rsid w:val="00A25F4E"/>
    <w:rsid w:val="00A4275A"/>
    <w:rsid w:val="00A55903"/>
    <w:rsid w:val="00A72629"/>
    <w:rsid w:val="00A747C6"/>
    <w:rsid w:val="00B16A02"/>
    <w:rsid w:val="00BD3196"/>
    <w:rsid w:val="00BF4591"/>
    <w:rsid w:val="00C45944"/>
    <w:rsid w:val="00C53BD3"/>
    <w:rsid w:val="00C665B2"/>
    <w:rsid w:val="00D14578"/>
    <w:rsid w:val="00D22A7D"/>
    <w:rsid w:val="00DB4475"/>
    <w:rsid w:val="00EF2B76"/>
    <w:rsid w:val="00F33931"/>
    <w:rsid w:val="00F76F3D"/>
    <w:rsid w:val="00FC2921"/>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21EF0"/>
  <w15:chartTrackingRefBased/>
  <w15:docId w15:val="{D2025967-FF62-4F03-8312-E227ECF1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3BB"/>
    <w:pPr>
      <w:keepNext/>
      <w:keepLines/>
      <w:spacing w:before="240" w:after="0"/>
      <w:outlineLvl w:val="0"/>
    </w:pPr>
    <w:rPr>
      <w:rFonts w:eastAsiaTheme="majorEastAsia" w:cstheme="minorHAnsi"/>
      <w:b/>
      <w:bCs/>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3BB"/>
    <w:rPr>
      <w:rFonts w:eastAsiaTheme="majorEastAsia" w:cstheme="minorHAnsi"/>
      <w:b/>
      <w:bCs/>
      <w:color w:val="538135" w:themeColor="accent6" w:themeShade="BF"/>
      <w:sz w:val="32"/>
      <w:szCs w:val="32"/>
    </w:rPr>
  </w:style>
  <w:style w:type="character" w:styleId="Hyperlink">
    <w:name w:val="Hyperlink"/>
    <w:basedOn w:val="DefaultParagraphFont"/>
    <w:uiPriority w:val="99"/>
    <w:unhideWhenUsed/>
    <w:rsid w:val="0024662D"/>
    <w:rPr>
      <w:color w:val="0563C1" w:themeColor="hyperlink"/>
      <w:u w:val="single"/>
    </w:rPr>
  </w:style>
  <w:style w:type="character" w:styleId="UnresolvedMention">
    <w:name w:val="Unresolved Mention"/>
    <w:basedOn w:val="DefaultParagraphFont"/>
    <w:uiPriority w:val="99"/>
    <w:semiHidden/>
    <w:unhideWhenUsed/>
    <w:rsid w:val="0024662D"/>
    <w:rPr>
      <w:color w:val="605E5C"/>
      <w:shd w:val="clear" w:color="auto" w:fill="E1DFDD"/>
    </w:rPr>
  </w:style>
  <w:style w:type="paragraph" w:styleId="ListParagraph">
    <w:name w:val="List Paragraph"/>
    <w:basedOn w:val="Normal"/>
    <w:uiPriority w:val="34"/>
    <w:qFormat/>
    <w:rsid w:val="006B1100"/>
    <w:pPr>
      <w:ind w:left="720"/>
      <w:contextualSpacing/>
    </w:pPr>
  </w:style>
  <w:style w:type="character" w:styleId="CommentReference">
    <w:name w:val="annotation reference"/>
    <w:basedOn w:val="DefaultParagraphFont"/>
    <w:uiPriority w:val="99"/>
    <w:semiHidden/>
    <w:unhideWhenUsed/>
    <w:rsid w:val="005D6251"/>
    <w:rPr>
      <w:sz w:val="16"/>
      <w:szCs w:val="16"/>
    </w:rPr>
  </w:style>
  <w:style w:type="paragraph" w:styleId="CommentText">
    <w:name w:val="annotation text"/>
    <w:basedOn w:val="Normal"/>
    <w:link w:val="CommentTextChar"/>
    <w:uiPriority w:val="99"/>
    <w:semiHidden/>
    <w:unhideWhenUsed/>
    <w:rsid w:val="005D6251"/>
    <w:pPr>
      <w:spacing w:line="240" w:lineRule="auto"/>
    </w:pPr>
    <w:rPr>
      <w:sz w:val="20"/>
      <w:szCs w:val="20"/>
    </w:rPr>
  </w:style>
  <w:style w:type="character" w:customStyle="1" w:styleId="CommentTextChar">
    <w:name w:val="Comment Text Char"/>
    <w:basedOn w:val="DefaultParagraphFont"/>
    <w:link w:val="CommentText"/>
    <w:uiPriority w:val="99"/>
    <w:semiHidden/>
    <w:rsid w:val="005D6251"/>
    <w:rPr>
      <w:sz w:val="20"/>
      <w:szCs w:val="20"/>
    </w:rPr>
  </w:style>
  <w:style w:type="paragraph" w:styleId="CommentSubject">
    <w:name w:val="annotation subject"/>
    <w:basedOn w:val="CommentText"/>
    <w:next w:val="CommentText"/>
    <w:link w:val="CommentSubjectChar"/>
    <w:uiPriority w:val="99"/>
    <w:semiHidden/>
    <w:unhideWhenUsed/>
    <w:rsid w:val="005D6251"/>
    <w:rPr>
      <w:b/>
      <w:bCs/>
    </w:rPr>
  </w:style>
  <w:style w:type="character" w:customStyle="1" w:styleId="CommentSubjectChar">
    <w:name w:val="Comment Subject Char"/>
    <w:basedOn w:val="CommentTextChar"/>
    <w:link w:val="CommentSubject"/>
    <w:uiPriority w:val="99"/>
    <w:semiHidden/>
    <w:rsid w:val="005D6251"/>
    <w:rPr>
      <w:b/>
      <w:bCs/>
      <w:sz w:val="20"/>
      <w:szCs w:val="20"/>
    </w:rPr>
  </w:style>
  <w:style w:type="character" w:styleId="FollowedHyperlink">
    <w:name w:val="FollowedHyperlink"/>
    <w:basedOn w:val="DefaultParagraphFont"/>
    <w:uiPriority w:val="99"/>
    <w:semiHidden/>
    <w:unhideWhenUsed/>
    <w:rsid w:val="006D4D16"/>
    <w:rPr>
      <w:color w:val="954F72" w:themeColor="followedHyperlink"/>
      <w:u w:val="single"/>
    </w:rPr>
  </w:style>
  <w:style w:type="table" w:styleId="TableGrid">
    <w:name w:val="Table Grid"/>
    <w:basedOn w:val="TableNormal"/>
    <w:uiPriority w:val="39"/>
    <w:rsid w:val="00A2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3BB"/>
  </w:style>
  <w:style w:type="paragraph" w:styleId="Footer">
    <w:name w:val="footer"/>
    <w:basedOn w:val="Normal"/>
    <w:link w:val="FooterChar"/>
    <w:uiPriority w:val="99"/>
    <w:unhideWhenUsed/>
    <w:rsid w:val="00FF0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7898">
      <w:bodyDiv w:val="1"/>
      <w:marLeft w:val="0"/>
      <w:marRight w:val="0"/>
      <w:marTop w:val="0"/>
      <w:marBottom w:val="0"/>
      <w:divBdr>
        <w:top w:val="none" w:sz="0" w:space="0" w:color="auto"/>
        <w:left w:val="none" w:sz="0" w:space="0" w:color="auto"/>
        <w:bottom w:val="none" w:sz="0" w:space="0" w:color="auto"/>
        <w:right w:val="none" w:sz="0" w:space="0" w:color="auto"/>
      </w:divBdr>
    </w:div>
    <w:div w:id="1356537901">
      <w:bodyDiv w:val="1"/>
      <w:marLeft w:val="0"/>
      <w:marRight w:val="0"/>
      <w:marTop w:val="0"/>
      <w:marBottom w:val="0"/>
      <w:divBdr>
        <w:top w:val="none" w:sz="0" w:space="0" w:color="auto"/>
        <w:left w:val="none" w:sz="0" w:space="0" w:color="auto"/>
        <w:bottom w:val="none" w:sz="0" w:space="0" w:color="auto"/>
        <w:right w:val="none" w:sz="0" w:space="0" w:color="auto"/>
      </w:divBdr>
      <w:divsChild>
        <w:div w:id="162400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22.16%20-%20Health%20weight%2C%20healthy%20futures_WEB.pdf" TargetMode="External"/><Relationship Id="rId13" Type="http://schemas.openxmlformats.org/officeDocument/2006/relationships/hyperlink" Target="https://www.thelancet.com/journals/lanpub/article/PIIS2468-2667(22)00341-3/fulltex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7829/HF-2023-HL03" TargetMode="External"/><Relationship Id="rId12" Type="http://schemas.openxmlformats.org/officeDocument/2006/relationships/hyperlink" Target="https://www.thelancet.com/journals/lanpub/article/PIIS2468-2667(22)00341-3/fulltex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lancet.com/journals/lanpub/article/PIIS2468-2667(22)00341-3/full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coholforum.org/i-mark/" TargetMode="External"/><Relationship Id="rId5" Type="http://schemas.openxmlformats.org/officeDocument/2006/relationships/footnotes" Target="footnotes.xml"/><Relationship Id="rId15" Type="http://schemas.openxmlformats.org/officeDocument/2006/relationships/hyperlink" Target="https://www.irishexaminer.com/news/arid-40974134.html" TargetMode="External"/><Relationship Id="rId10" Type="http://schemas.openxmlformats.org/officeDocument/2006/relationships/hyperlink" Target="https://www.sciencedirect.com/science/article/pii/S02779536220043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1353829218310414" TargetMode="External"/><Relationship Id="rId14" Type="http://schemas.openxmlformats.org/officeDocument/2006/relationships/hyperlink" Target="https://alcoholcampaign.org/2022/03/14/i-mar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dc:creator>
  <cp:keywords/>
  <dc:description/>
  <cp:lastModifiedBy>Anna Brook</cp:lastModifiedBy>
  <cp:revision>4</cp:revision>
  <dcterms:created xsi:type="dcterms:W3CDTF">2024-03-17T14:46:00Z</dcterms:created>
  <dcterms:modified xsi:type="dcterms:W3CDTF">2024-03-17T14:47:00Z</dcterms:modified>
</cp:coreProperties>
</file>