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43" w14:textId="1C5589E4" w:rsidR="00787877" w:rsidRPr="002B4F69" w:rsidRDefault="00123A64" w:rsidP="002B4F69">
      <w:pPr>
        <w:pStyle w:val="Heading1"/>
        <w:rPr>
          <w:color w:val="538135" w:themeColor="accent6" w:themeShade="BF"/>
        </w:rPr>
      </w:pPr>
      <w:bookmarkStart w:id="0" w:name="_Hlk159160962"/>
      <w:r w:rsidRPr="002B4F69">
        <w:rPr>
          <w:color w:val="538135" w:themeColor="accent6" w:themeShade="BF"/>
        </w:rPr>
        <w:t xml:space="preserve">Exercise </w:t>
      </w:r>
      <w:r w:rsidR="0069212C" w:rsidRPr="002B4F69">
        <w:rPr>
          <w:color w:val="538135" w:themeColor="accent6" w:themeShade="BF"/>
        </w:rPr>
        <w:t>5a</w:t>
      </w:r>
      <w:r w:rsidR="00D35DBF" w:rsidRPr="002B4F69">
        <w:rPr>
          <w:color w:val="538135" w:themeColor="accent6" w:themeShade="BF"/>
        </w:rPr>
        <w:t xml:space="preserve"> overview </w:t>
      </w:r>
      <w:r w:rsidR="00601DAE" w:rsidRPr="002B4F69">
        <w:rPr>
          <w:color w:val="538135" w:themeColor="accent6" w:themeShade="BF"/>
        </w:rPr>
        <w:t xml:space="preserve">and instructions </w:t>
      </w:r>
    </w:p>
    <w:p w14:paraId="26CBAA45" w14:textId="78370A36" w:rsidR="002221D0" w:rsidRDefault="002221D0" w:rsidP="002221D0">
      <w:r>
        <w:t xml:space="preserve">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516"/>
        <w:gridCol w:w="5430"/>
        <w:gridCol w:w="1239"/>
        <w:gridCol w:w="1254"/>
      </w:tblGrid>
      <w:tr w:rsidR="004603F7" w:rsidRPr="004603F7" w14:paraId="17A836AB" w14:textId="77777777" w:rsidTr="0069212C">
        <w:tc>
          <w:tcPr>
            <w:tcW w:w="2017" w:type="dxa"/>
          </w:tcPr>
          <w:p w14:paraId="0336DD0E" w14:textId="7B05118C" w:rsidR="002221D0" w:rsidRPr="004603F7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>Content</w:t>
            </w:r>
            <w:r w:rsid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covered</w:t>
            </w:r>
          </w:p>
        </w:tc>
        <w:tc>
          <w:tcPr>
            <w:tcW w:w="516" w:type="dxa"/>
          </w:tcPr>
          <w:p w14:paraId="6ACB0AFF" w14:textId="77777777" w:rsidR="002221D0" w:rsidRPr="004603F7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>ref</w:t>
            </w:r>
          </w:p>
        </w:tc>
        <w:tc>
          <w:tcPr>
            <w:tcW w:w="5430" w:type="dxa"/>
          </w:tcPr>
          <w:p w14:paraId="0A71B93A" w14:textId="344DE06D" w:rsidR="002221D0" w:rsidRPr="004603F7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Delivery method </w:t>
            </w:r>
          </w:p>
        </w:tc>
        <w:tc>
          <w:tcPr>
            <w:tcW w:w="1239" w:type="dxa"/>
          </w:tcPr>
          <w:p w14:paraId="47DB8F5B" w14:textId="77777777" w:rsidR="002221D0" w:rsidRPr="004603F7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Estimated time </w:t>
            </w:r>
          </w:p>
        </w:tc>
        <w:tc>
          <w:tcPr>
            <w:tcW w:w="1254" w:type="dxa"/>
          </w:tcPr>
          <w:p w14:paraId="4D17731E" w14:textId="18F85FC6" w:rsidR="002221D0" w:rsidRPr="004603F7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4603F7">
              <w:rPr>
                <w:b/>
                <w:bCs/>
                <w:color w:val="538135" w:themeColor="accent6" w:themeShade="BF"/>
                <w:sz w:val="24"/>
                <w:szCs w:val="24"/>
              </w:rPr>
              <w:t>Linked learning objectives</w:t>
            </w:r>
          </w:p>
        </w:tc>
      </w:tr>
      <w:bookmarkEnd w:id="0"/>
      <w:tr w:rsidR="0069212C" w14:paraId="61F2E799" w14:textId="77777777" w:rsidTr="0069212C">
        <w:tc>
          <w:tcPr>
            <w:tcW w:w="2017" w:type="dxa"/>
          </w:tcPr>
          <w:p w14:paraId="080D9EC2" w14:textId="77777777" w:rsidR="0069212C" w:rsidRDefault="0069212C" w:rsidP="00ED4BBB">
            <w:r>
              <w:t>Present possibilities for LA action Local authority levers and opportunities – where is its influence, where can it act</w:t>
            </w:r>
          </w:p>
        </w:tc>
        <w:tc>
          <w:tcPr>
            <w:tcW w:w="516" w:type="dxa"/>
          </w:tcPr>
          <w:p w14:paraId="0D902E0E" w14:textId="77777777" w:rsidR="0069212C" w:rsidRDefault="0069212C" w:rsidP="00ED4BBB">
            <w:r>
              <w:t>5a</w:t>
            </w:r>
          </w:p>
        </w:tc>
        <w:tc>
          <w:tcPr>
            <w:tcW w:w="5430" w:type="dxa"/>
          </w:tcPr>
          <w:p w14:paraId="6F437DB0" w14:textId="77777777" w:rsidR="0069212C" w:rsidRDefault="0069212C" w:rsidP="00ED4BBB">
            <w:r>
              <w:t xml:space="preserve">A presentation to cover </w:t>
            </w:r>
          </w:p>
          <w:p w14:paraId="0B39C865" w14:textId="77777777" w:rsidR="0069212C" w:rsidRDefault="0069212C" w:rsidP="0069212C">
            <w:pPr>
              <w:pStyle w:val="ListParagraph"/>
              <w:numPr>
                <w:ilvl w:val="0"/>
                <w:numId w:val="3"/>
              </w:numPr>
            </w:pPr>
            <w:r>
              <w:t xml:space="preserve">Frameworks for action (ASH/AHA/OHA cross risk factor framework, Lancet framework, Health Foundation framework) </w:t>
            </w:r>
          </w:p>
          <w:p w14:paraId="42C97D1E" w14:textId="77777777" w:rsidR="0069212C" w:rsidRDefault="0069212C" w:rsidP="0069212C">
            <w:pPr>
              <w:pStyle w:val="ListParagraph"/>
              <w:numPr>
                <w:ilvl w:val="0"/>
                <w:numId w:val="3"/>
              </w:numPr>
            </w:pPr>
            <w:r>
              <w:t xml:space="preserve">Annotated frameworks in which brief examples are given for each domain OR interactive presentation with attendees calling out examples </w:t>
            </w:r>
          </w:p>
        </w:tc>
        <w:tc>
          <w:tcPr>
            <w:tcW w:w="1239" w:type="dxa"/>
          </w:tcPr>
          <w:p w14:paraId="46D1CB1A" w14:textId="6CB75849" w:rsidR="0069212C" w:rsidRDefault="00425277" w:rsidP="00ED4BBB">
            <w:r>
              <w:t>5</w:t>
            </w:r>
            <w:r w:rsidR="0069212C">
              <w:t>-20 minutes</w:t>
            </w:r>
          </w:p>
        </w:tc>
        <w:tc>
          <w:tcPr>
            <w:tcW w:w="1254" w:type="dxa"/>
          </w:tcPr>
          <w:p w14:paraId="7969912A" w14:textId="77777777" w:rsidR="0069212C" w:rsidRDefault="0069212C" w:rsidP="00ED4BBB">
            <w:r>
              <w:t>L4, L5</w:t>
            </w:r>
          </w:p>
        </w:tc>
      </w:tr>
      <w:tr w:rsidR="0069212C" w14:paraId="7BED7DB1" w14:textId="77777777" w:rsidTr="0069212C">
        <w:tc>
          <w:tcPr>
            <w:tcW w:w="2017" w:type="dxa"/>
          </w:tcPr>
          <w:p w14:paraId="3EABD5CA" w14:textId="77777777" w:rsidR="0069212C" w:rsidRDefault="0069212C" w:rsidP="00ED4BBB"/>
        </w:tc>
        <w:tc>
          <w:tcPr>
            <w:tcW w:w="516" w:type="dxa"/>
          </w:tcPr>
          <w:p w14:paraId="61356DDD" w14:textId="77777777" w:rsidR="0069212C" w:rsidRDefault="0069212C" w:rsidP="00ED4BBB"/>
        </w:tc>
        <w:tc>
          <w:tcPr>
            <w:tcW w:w="5430" w:type="dxa"/>
          </w:tcPr>
          <w:p w14:paraId="59C49C10" w14:textId="77777777" w:rsidR="0069212C" w:rsidRDefault="0069212C" w:rsidP="00ED4BBB">
            <w:r>
              <w:t xml:space="preserve">A possibilities board can be created and added to throughout the session (eg when deconstructing the case studies), </w:t>
            </w:r>
          </w:p>
          <w:p w14:paraId="66A3F76A" w14:textId="77777777" w:rsidR="0069212C" w:rsidRDefault="0069212C" w:rsidP="00ED4BBB">
            <w:r>
              <w:t xml:space="preserve">At the start, set up frameworks for action (such as the </w:t>
            </w:r>
            <w:hyperlink r:id="rId7" w:history="1">
              <w:r w:rsidRPr="00C63FFE">
                <w:rPr>
                  <w:rStyle w:val="Hyperlink"/>
                </w:rPr>
                <w:t>Public Health Playbook</w:t>
              </w:r>
            </w:hyperlink>
            <w:r>
              <w:t xml:space="preserve"> and </w:t>
            </w:r>
            <w:hyperlink r:id="rId8" w:history="1">
              <w:r w:rsidRPr="00C63FFE">
                <w:rPr>
                  <w:rStyle w:val="Hyperlink"/>
                </w:rPr>
                <w:t>CDoH Future Directions panel</w:t>
              </w:r>
            </w:hyperlink>
            <w:r>
              <w:t xml:space="preserve">), </w:t>
            </w:r>
            <w:hyperlink r:id="rId9" w:history="1">
              <w:r w:rsidRPr="00C63FFE">
                <w:rPr>
                  <w:rStyle w:val="Hyperlink"/>
                </w:rPr>
                <w:t>typology of local authority interaction with harmful commodity industries</w:t>
              </w:r>
            </w:hyperlink>
            <w:r>
              <w:t xml:space="preserve"> and case studies of successful actions that are locally relevant) and these could be added to and annotated to show what the participants think could be done locally</w:t>
            </w:r>
          </w:p>
        </w:tc>
        <w:tc>
          <w:tcPr>
            <w:tcW w:w="1239" w:type="dxa"/>
          </w:tcPr>
          <w:p w14:paraId="3B578309" w14:textId="77777777" w:rsidR="0069212C" w:rsidRDefault="0069212C" w:rsidP="00ED4BBB">
            <w:r>
              <w:t xml:space="preserve">n/a – used throughout other exercises </w:t>
            </w:r>
          </w:p>
        </w:tc>
        <w:tc>
          <w:tcPr>
            <w:tcW w:w="1254" w:type="dxa"/>
          </w:tcPr>
          <w:p w14:paraId="274ACED5" w14:textId="77777777" w:rsidR="0069212C" w:rsidRDefault="0069212C" w:rsidP="00ED4BBB">
            <w:r>
              <w:t>L4, L5, L6</w:t>
            </w:r>
          </w:p>
        </w:tc>
      </w:tr>
    </w:tbl>
    <w:p w14:paraId="0C1B0079" w14:textId="728FC043" w:rsidR="002221D0" w:rsidRDefault="002221D0" w:rsidP="002221D0"/>
    <w:p w14:paraId="0FCFCAD8" w14:textId="040A848B" w:rsidR="002221D0" w:rsidRPr="002B4F69" w:rsidRDefault="002221D0" w:rsidP="002B4F69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</w:rPr>
      </w:pPr>
      <w:bookmarkStart w:id="1" w:name="_Hlk159161827"/>
      <w:r w:rsidRPr="002B4F69">
        <w:rPr>
          <w:rFonts w:asciiTheme="minorHAnsi" w:hAnsiTheme="minorHAnsi" w:cstheme="minorHAnsi"/>
          <w:b/>
          <w:bCs/>
          <w:color w:val="538135" w:themeColor="accent6" w:themeShade="BF"/>
        </w:rPr>
        <w:t>What do you need for this section?</w:t>
      </w:r>
    </w:p>
    <w:p w14:paraId="16D13BCE" w14:textId="38505E24" w:rsidR="00D35DBF" w:rsidRDefault="00123A64" w:rsidP="00123A64">
      <w:pPr>
        <w:pStyle w:val="ListParagraph"/>
        <w:numPr>
          <w:ilvl w:val="0"/>
          <w:numId w:val="4"/>
        </w:numPr>
      </w:pPr>
      <w:r>
        <w:t>Slide set</w:t>
      </w:r>
      <w:r w:rsidR="002B4F69">
        <w:t xml:space="preserve"> </w:t>
      </w:r>
      <w:r>
        <w:t>– there is a set of slides with integrated speaking notes and references</w:t>
      </w:r>
      <w:r w:rsidR="00601DAE">
        <w:t xml:space="preserve"> – you can choose to do a longer and more in-depth presentation or a shorter version </w:t>
      </w:r>
      <w:r w:rsidR="002B4F69">
        <w:t xml:space="preserve">(see: </w:t>
      </w:r>
      <w:r w:rsidR="002B4F69" w:rsidRPr="002B4F69">
        <w:rPr>
          <w:color w:val="70AD47" w:themeColor="accent6"/>
        </w:rPr>
        <w:t>CDoH Essentials Section 5a ii slides</w:t>
      </w:r>
      <w:r w:rsidR="002B4F69">
        <w:t>)</w:t>
      </w:r>
      <w:r w:rsidR="002B4F69">
        <w:t>.</w:t>
      </w:r>
    </w:p>
    <w:p w14:paraId="21E2335A" w14:textId="092DF89B" w:rsidR="00123A64" w:rsidRDefault="00123A64" w:rsidP="00123A64">
      <w:pPr>
        <w:pStyle w:val="ListParagraph"/>
        <w:numPr>
          <w:ilvl w:val="0"/>
          <w:numId w:val="4"/>
        </w:numPr>
      </w:pPr>
      <w:r>
        <w:t xml:space="preserve">Speaking notes </w:t>
      </w:r>
      <w:r w:rsidR="002B4F69">
        <w:t xml:space="preserve">(integrated into the slide-set) </w:t>
      </w:r>
      <w:r>
        <w:t>– you need to work out which of the speaking notes and examples you will use</w:t>
      </w:r>
    </w:p>
    <w:p w14:paraId="57F81C5E" w14:textId="2D1970B5" w:rsidR="002B4F69" w:rsidRDefault="002B4F69" w:rsidP="00123A64">
      <w:pPr>
        <w:pStyle w:val="ListParagraph"/>
        <w:numPr>
          <w:ilvl w:val="0"/>
          <w:numId w:val="4"/>
        </w:numPr>
      </w:pPr>
      <w:r>
        <w:t>If you are using the possibilities board, set this up with post-it notes and pens for people to add to</w:t>
      </w:r>
    </w:p>
    <w:bookmarkEnd w:id="1"/>
    <w:p w14:paraId="4B7A7299" w14:textId="50C2CC06" w:rsidR="00123A64" w:rsidRDefault="00123A64" w:rsidP="00123A64">
      <w:pPr>
        <w:pStyle w:val="ListParagraph"/>
        <w:numPr>
          <w:ilvl w:val="0"/>
          <w:numId w:val="4"/>
        </w:numPr>
      </w:pPr>
      <w:r>
        <w:t xml:space="preserve">It is possible to cover the material in 5 minutes if </w:t>
      </w:r>
    </w:p>
    <w:p w14:paraId="02505ABE" w14:textId="3621D879" w:rsidR="00123A64" w:rsidRDefault="00123A64" w:rsidP="00123A64">
      <w:pPr>
        <w:pStyle w:val="ListParagraph"/>
        <w:numPr>
          <w:ilvl w:val="1"/>
          <w:numId w:val="4"/>
        </w:numPr>
      </w:pPr>
      <w:r>
        <w:t>you do it without any interaction or questions</w:t>
      </w:r>
    </w:p>
    <w:p w14:paraId="201C704C" w14:textId="729E1C94" w:rsidR="00123A64" w:rsidRDefault="00123A64" w:rsidP="00123A64">
      <w:pPr>
        <w:pStyle w:val="ListParagraph"/>
        <w:numPr>
          <w:ilvl w:val="1"/>
          <w:numId w:val="4"/>
        </w:numPr>
      </w:pPr>
      <w:r>
        <w:t xml:space="preserve">you </w:t>
      </w:r>
      <w:r w:rsidR="00425277">
        <w:t xml:space="preserve">simply introduce the frameworks without going through to explain each dimension or giving any of the illustrative examples </w:t>
      </w:r>
      <w:r>
        <w:t xml:space="preserve"> </w:t>
      </w:r>
    </w:p>
    <w:p w14:paraId="1CD47AB5" w14:textId="153E46A6" w:rsidR="00353503" w:rsidRDefault="00123A64" w:rsidP="00353503">
      <w:pPr>
        <w:pStyle w:val="ListParagraph"/>
        <w:numPr>
          <w:ilvl w:val="1"/>
          <w:numId w:val="4"/>
        </w:numPr>
      </w:pPr>
      <w:r>
        <w:t>you practise!</w:t>
      </w:r>
    </w:p>
    <w:p w14:paraId="2B189DDF" w14:textId="77777777" w:rsidR="00425277" w:rsidRDefault="00123A64" w:rsidP="00123A64">
      <w:pPr>
        <w:pStyle w:val="ListParagraph"/>
        <w:numPr>
          <w:ilvl w:val="0"/>
          <w:numId w:val="4"/>
        </w:numPr>
      </w:pPr>
      <w:r>
        <w:t xml:space="preserve">It takes about </w:t>
      </w:r>
      <w:r w:rsidR="00425277">
        <w:t xml:space="preserve">10 minutes if you give a few illustrative examples from one framework </w:t>
      </w:r>
    </w:p>
    <w:p w14:paraId="44B6354F" w14:textId="43A7112C" w:rsidR="00123A64" w:rsidRDefault="00425277" w:rsidP="00123A64">
      <w:pPr>
        <w:pStyle w:val="ListParagraph"/>
        <w:numPr>
          <w:ilvl w:val="0"/>
          <w:numId w:val="4"/>
        </w:numPr>
      </w:pPr>
      <w:r>
        <w:t>It takes about 2</w:t>
      </w:r>
      <w:r w:rsidR="00123A64">
        <w:t>0 minutes if you pause to ask for suggested examples from the participants</w:t>
      </w:r>
      <w:r>
        <w:t xml:space="preserve"> or cover both frameworks</w:t>
      </w:r>
      <w:r w:rsidR="002B4F69">
        <w:t>.</w:t>
      </w:r>
    </w:p>
    <w:p w14:paraId="2BD3E269" w14:textId="77777777" w:rsidR="00601DAE" w:rsidRDefault="00601DAE" w:rsidP="00601DAE"/>
    <w:p w14:paraId="54ECAD08" w14:textId="07505B58" w:rsidR="002B4F69" w:rsidRDefault="002B4F69" w:rsidP="002B4F69">
      <w:pPr>
        <w:spacing w:after="0"/>
        <w:rPr>
          <w:rStyle w:val="Emphasis"/>
          <w:i w:val="0"/>
          <w:iCs w:val="0"/>
          <w:color w:val="70AD47" w:themeColor="accent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CF13F" wp14:editId="6A1B2DB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20000" cy="720000"/>
            <wp:effectExtent l="0" t="0" r="4445" b="0"/>
            <wp:wrapSquare wrapText="bothSides"/>
            <wp:docPr id="4" name="Graphic 4" descr="Postit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ostit Notes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i w:val="0"/>
          <w:iCs w:val="0"/>
          <w:color w:val="70AD47" w:themeColor="accent6"/>
        </w:rPr>
        <w:t>Key</w:t>
      </w:r>
      <w:r w:rsidRPr="006B6A2D">
        <w:rPr>
          <w:rStyle w:val="Emphasis"/>
          <w:color w:val="70AD47" w:themeColor="accent6"/>
        </w:rPr>
        <w:t xml:space="preserve"> tip</w:t>
      </w:r>
      <w:r>
        <w:rPr>
          <w:rStyle w:val="Emphasis"/>
          <w:i w:val="0"/>
          <w:iCs w:val="0"/>
          <w:color w:val="70AD47" w:themeColor="accent6"/>
        </w:rPr>
        <w:t>s</w:t>
      </w:r>
      <w:r w:rsidRPr="006B6A2D">
        <w:rPr>
          <w:rStyle w:val="Emphasis"/>
          <w:color w:val="70AD47" w:themeColor="accent6"/>
        </w:rPr>
        <w:t xml:space="preserve"> from the trials</w:t>
      </w:r>
      <w:r>
        <w:rPr>
          <w:rStyle w:val="Emphasis"/>
          <w:i w:val="0"/>
          <w:iCs w:val="0"/>
          <w:color w:val="70AD47" w:themeColor="accent6"/>
        </w:rPr>
        <w:t>:</w:t>
      </w:r>
    </w:p>
    <w:p w14:paraId="16B6FF39" w14:textId="77777777" w:rsidR="002B4F69" w:rsidRDefault="002B4F69" w:rsidP="002B4F69">
      <w:pPr>
        <w:pStyle w:val="ListParagraph"/>
        <w:numPr>
          <w:ilvl w:val="0"/>
          <w:numId w:val="7"/>
        </w:numPr>
        <w:ind w:left="1560"/>
        <w:rPr>
          <w:rStyle w:val="Emphasis"/>
          <w:i w:val="0"/>
          <w:iCs w:val="0"/>
          <w:color w:val="70AD47" w:themeColor="accent6"/>
        </w:rPr>
      </w:pPr>
      <w:r w:rsidRPr="00AC526D">
        <w:rPr>
          <w:rStyle w:val="Emphasis"/>
          <w:i w:val="0"/>
          <w:iCs w:val="0"/>
          <w:color w:val="70AD47" w:themeColor="accent6"/>
        </w:rPr>
        <w:t>make sure you practise so you can keep to time</w:t>
      </w:r>
    </w:p>
    <w:p w14:paraId="0569F617" w14:textId="77777777" w:rsidR="002B4F69" w:rsidRDefault="002B4F69" w:rsidP="002B4F69">
      <w:pPr>
        <w:pStyle w:val="ListParagraph"/>
        <w:numPr>
          <w:ilvl w:val="0"/>
          <w:numId w:val="7"/>
        </w:numPr>
        <w:ind w:left="1560"/>
        <w:rPr>
          <w:rStyle w:val="Emphasis"/>
          <w:i w:val="0"/>
          <w:iCs w:val="0"/>
          <w:color w:val="70AD47" w:themeColor="accent6"/>
        </w:rPr>
      </w:pPr>
      <w:r>
        <w:rPr>
          <w:rStyle w:val="Emphasis"/>
          <w:i w:val="0"/>
          <w:iCs w:val="0"/>
          <w:color w:val="70AD47" w:themeColor="accent6"/>
        </w:rPr>
        <w:t>choose which examples to use and amend your speaking notes accordingly</w:t>
      </w:r>
    </w:p>
    <w:p w14:paraId="4D1295AA" w14:textId="77777777" w:rsidR="002B4F69" w:rsidRPr="00AC526D" w:rsidRDefault="002B4F69" w:rsidP="002B4F69">
      <w:pPr>
        <w:pStyle w:val="ListParagraph"/>
        <w:numPr>
          <w:ilvl w:val="0"/>
          <w:numId w:val="7"/>
        </w:numPr>
        <w:ind w:left="1560"/>
        <w:rPr>
          <w:color w:val="70AD47" w:themeColor="accent6"/>
        </w:rPr>
      </w:pPr>
      <w:r>
        <w:rPr>
          <w:rStyle w:val="Emphasis"/>
          <w:i w:val="0"/>
          <w:iCs w:val="0"/>
          <w:color w:val="70AD47" w:themeColor="accent6"/>
        </w:rPr>
        <w:t xml:space="preserve">get confident by doing your own CPD </w:t>
      </w:r>
    </w:p>
    <w:p w14:paraId="4A26FE0A" w14:textId="77777777" w:rsidR="002B4F69" w:rsidRDefault="002B4F69" w:rsidP="00601DAE"/>
    <w:sectPr w:rsidR="002B4F69" w:rsidSect="002221D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0315" w14:textId="77777777" w:rsidR="00760A8A" w:rsidRDefault="00760A8A" w:rsidP="002B4F69">
      <w:pPr>
        <w:spacing w:after="0" w:line="240" w:lineRule="auto"/>
      </w:pPr>
      <w:r>
        <w:separator/>
      </w:r>
    </w:p>
  </w:endnote>
  <w:endnote w:type="continuationSeparator" w:id="0">
    <w:p w14:paraId="2FB6087A" w14:textId="77777777" w:rsidR="00760A8A" w:rsidRDefault="00760A8A" w:rsidP="002B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C24D" w14:textId="743C9E85" w:rsidR="002B4F69" w:rsidRDefault="002B4F6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973757" wp14:editId="6C548B5D">
          <wp:simplePos x="0" y="0"/>
          <wp:positionH relativeFrom="margin">
            <wp:posOffset>-132715</wp:posOffset>
          </wp:positionH>
          <wp:positionV relativeFrom="paragraph">
            <wp:posOffset>161290</wp:posOffset>
          </wp:positionV>
          <wp:extent cx="466725" cy="466725"/>
          <wp:effectExtent l="0" t="0" r="0" b="9525"/>
          <wp:wrapNone/>
          <wp:docPr id="3" name="Graphic 3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68AA34" wp14:editId="7C2681F5">
          <wp:simplePos x="0" y="0"/>
          <wp:positionH relativeFrom="margin">
            <wp:posOffset>-323215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10" name="Graphic 10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129EE" wp14:editId="7BCAD4A4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EE63DA" w14:textId="77777777" w:rsidR="002B4F69" w:rsidRPr="008260BB" w:rsidRDefault="002B4F69" w:rsidP="002B4F69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2" w:name="_Hlk161151532"/>
                          <w:bookmarkStart w:id="3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129EE" id="Rectangle 9" o:spid="_x0000_s1026" style="position:absolute;margin-left:-35.25pt;margin-top:0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u88Old0AAAAIAQAADwAAAAAAAAAAAAAAAADwBAAAZHJzL2Rvd25y&#10;ZXYueG1sUEsFBgAAAAAEAAQA8wAAAPoFAAAAAA==&#10;" fillcolor="#e2efd9 [665]" stroked="f" strokeweight="1pt">
              <v:textbox>
                <w:txbxContent>
                  <w:p w14:paraId="3AEE63DA" w14:textId="77777777" w:rsidR="002B4F69" w:rsidRPr="008260BB" w:rsidRDefault="002B4F69" w:rsidP="002B4F69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4" w:name="_Hlk161151532"/>
                    <w:bookmarkStart w:id="5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4"/>
                    <w:bookmarkEnd w:id="5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79C1" w14:textId="77777777" w:rsidR="00760A8A" w:rsidRDefault="00760A8A" w:rsidP="002B4F69">
      <w:pPr>
        <w:spacing w:after="0" w:line="240" w:lineRule="auto"/>
      </w:pPr>
      <w:r>
        <w:separator/>
      </w:r>
    </w:p>
  </w:footnote>
  <w:footnote w:type="continuationSeparator" w:id="0">
    <w:p w14:paraId="264706E1" w14:textId="77777777" w:rsidR="00760A8A" w:rsidRDefault="00760A8A" w:rsidP="002B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ACE"/>
    <w:multiLevelType w:val="hybridMultilevel"/>
    <w:tmpl w:val="0ECA9F4A"/>
    <w:lvl w:ilvl="0" w:tplc="48BE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78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0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A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8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A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29217B"/>
    <w:multiLevelType w:val="hybridMultilevel"/>
    <w:tmpl w:val="3972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A51"/>
    <w:multiLevelType w:val="hybridMultilevel"/>
    <w:tmpl w:val="01EA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95E"/>
    <w:multiLevelType w:val="hybridMultilevel"/>
    <w:tmpl w:val="17C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5C63"/>
    <w:multiLevelType w:val="hybridMultilevel"/>
    <w:tmpl w:val="4E1CED64"/>
    <w:lvl w:ilvl="0" w:tplc="88FEE5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63D"/>
    <w:multiLevelType w:val="hybridMultilevel"/>
    <w:tmpl w:val="76007396"/>
    <w:lvl w:ilvl="0" w:tplc="94BC932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515"/>
    <w:multiLevelType w:val="hybridMultilevel"/>
    <w:tmpl w:val="845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822">
    <w:abstractNumId w:val="3"/>
  </w:num>
  <w:num w:numId="2" w16cid:durableId="1907959839">
    <w:abstractNumId w:val="2"/>
  </w:num>
  <w:num w:numId="3" w16cid:durableId="1568151527">
    <w:abstractNumId w:val="4"/>
  </w:num>
  <w:num w:numId="4" w16cid:durableId="397749247">
    <w:abstractNumId w:val="6"/>
  </w:num>
  <w:num w:numId="5" w16cid:durableId="419182874">
    <w:abstractNumId w:val="0"/>
  </w:num>
  <w:num w:numId="6" w16cid:durableId="942349250">
    <w:abstractNumId w:val="5"/>
  </w:num>
  <w:num w:numId="7" w16cid:durableId="92537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123A64"/>
    <w:rsid w:val="001479F1"/>
    <w:rsid w:val="002221D0"/>
    <w:rsid w:val="00246F66"/>
    <w:rsid w:val="002A54B7"/>
    <w:rsid w:val="002B4F69"/>
    <w:rsid w:val="00331544"/>
    <w:rsid w:val="00353503"/>
    <w:rsid w:val="00425277"/>
    <w:rsid w:val="004603F7"/>
    <w:rsid w:val="00601DAE"/>
    <w:rsid w:val="00643439"/>
    <w:rsid w:val="0069212C"/>
    <w:rsid w:val="00760A8A"/>
    <w:rsid w:val="00787877"/>
    <w:rsid w:val="008D2675"/>
    <w:rsid w:val="00AE503D"/>
    <w:rsid w:val="00D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AD12"/>
  <w15:chartTrackingRefBased/>
  <w15:docId w15:val="{9AC27EDA-8CCC-4AA5-890F-2A6E842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F69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F69"/>
    <w:rPr>
      <w:rFonts w:eastAsiaTheme="majorEastAsia" w:cstheme="minorHAnsi"/>
      <w:b/>
      <w:bCs/>
      <w:color w:val="538135" w:themeColor="accent6" w:themeShade="BF"/>
      <w:sz w:val="32"/>
      <w:szCs w:val="32"/>
    </w:rPr>
  </w:style>
  <w:style w:type="table" w:styleId="TableGrid">
    <w:name w:val="Table Grid"/>
    <w:basedOn w:val="TableNormal"/>
    <w:uiPriority w:val="39"/>
    <w:rsid w:val="0022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4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B4F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69"/>
  </w:style>
  <w:style w:type="paragraph" w:styleId="Footer">
    <w:name w:val="footer"/>
    <w:basedOn w:val="Normal"/>
    <w:link w:val="FooterChar"/>
    <w:uiPriority w:val="99"/>
    <w:unhideWhenUsed/>
    <w:rsid w:val="002B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cet/article/PIIS0140-6736(23)00011-9/full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glo/article/PIIS2214-109X(22)00185-1/fulltex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h.bmj.com/content/8/1/e01021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7</cp:revision>
  <dcterms:created xsi:type="dcterms:W3CDTF">2024-02-19T18:49:00Z</dcterms:created>
  <dcterms:modified xsi:type="dcterms:W3CDTF">2024-03-17T14:19:00Z</dcterms:modified>
</cp:coreProperties>
</file>