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3443" w14:textId="3BC05512" w:rsidR="00787877" w:rsidRPr="00F43B57" w:rsidRDefault="003178BC" w:rsidP="00D35DBF">
      <w:pPr>
        <w:pStyle w:val="Heading1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F43B57">
        <w:rPr>
          <w:rFonts w:asciiTheme="minorHAnsi" w:hAnsiTheme="minorHAnsi" w:cstheme="minorHAnsi"/>
          <w:b/>
          <w:bCs/>
          <w:color w:val="538135" w:themeColor="accent6" w:themeShade="BF"/>
        </w:rPr>
        <w:t>Section 4</w:t>
      </w:r>
      <w:r w:rsidR="00D35DBF" w:rsidRPr="00F43B57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  <w:r w:rsidR="00A55564" w:rsidRPr="00F43B57">
        <w:rPr>
          <w:rFonts w:asciiTheme="minorHAnsi" w:hAnsiTheme="minorHAnsi" w:cstheme="minorHAnsi"/>
          <w:b/>
          <w:bCs/>
          <w:color w:val="538135" w:themeColor="accent6" w:themeShade="BF"/>
        </w:rPr>
        <w:t>facilitator prompt sheet</w:t>
      </w:r>
      <w:r w:rsidR="00D35DBF" w:rsidRPr="00F43B57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</w:p>
    <w:p w14:paraId="5B4AA4FF" w14:textId="59A8C13F" w:rsidR="00A55564" w:rsidRDefault="00A55564" w:rsidP="002221D0"/>
    <w:p w14:paraId="3A0A7C55" w14:textId="274079EA" w:rsidR="00A55564" w:rsidRDefault="00A55564" w:rsidP="002221D0">
      <w:r w:rsidRPr="00F43B57">
        <w:rPr>
          <w:b/>
          <w:bCs/>
          <w:color w:val="538135" w:themeColor="accent6" w:themeShade="BF"/>
          <w:sz w:val="24"/>
          <w:szCs w:val="24"/>
        </w:rPr>
        <w:t>Task time:</w:t>
      </w:r>
      <w:r w:rsidRPr="00F43B57">
        <w:rPr>
          <w:color w:val="538135" w:themeColor="accent6" w:themeShade="BF"/>
          <w:sz w:val="24"/>
          <w:szCs w:val="24"/>
        </w:rPr>
        <w:t xml:space="preserve"> </w:t>
      </w:r>
      <w:r w:rsidR="00404415">
        <w:t xml:space="preserve">20-45+ minutes </w:t>
      </w:r>
      <w:r>
        <w:t xml:space="preserve"> </w:t>
      </w:r>
    </w:p>
    <w:p w14:paraId="106D47F2" w14:textId="6E480091" w:rsidR="00A55564" w:rsidRPr="00F43B57" w:rsidRDefault="00A55564" w:rsidP="00F43B57">
      <w:pPr>
        <w:pStyle w:val="Heading2"/>
        <w:rPr>
          <w:color w:val="538135" w:themeColor="accent6" w:themeShade="BF"/>
        </w:rPr>
      </w:pPr>
      <w:r w:rsidRPr="00F43B57">
        <w:rPr>
          <w:color w:val="538135" w:themeColor="accent6" w:themeShade="BF"/>
        </w:rPr>
        <w:t>Set up:</w:t>
      </w:r>
    </w:p>
    <w:p w14:paraId="331C2B9A" w14:textId="7044603E" w:rsidR="00076DC6" w:rsidRDefault="00076DC6" w:rsidP="00A55564">
      <w:pPr>
        <w:pStyle w:val="ListParagraph"/>
        <w:numPr>
          <w:ilvl w:val="0"/>
          <w:numId w:val="2"/>
        </w:numPr>
      </w:pPr>
      <w:r>
        <w:t xml:space="preserve">Before the workshop starts, set up the evidence </w:t>
      </w:r>
      <w:r w:rsidR="00E95A2B">
        <w:t>‘stations’</w:t>
      </w:r>
      <w:r>
        <w:t xml:space="preserve"> around the room.   </w:t>
      </w:r>
    </w:p>
    <w:p w14:paraId="06614A9B" w14:textId="2ED77B03" w:rsidR="00A55564" w:rsidRDefault="00A55564" w:rsidP="00A55564">
      <w:pPr>
        <w:pStyle w:val="ListParagraph"/>
        <w:numPr>
          <w:ilvl w:val="0"/>
          <w:numId w:val="2"/>
        </w:numPr>
      </w:pPr>
      <w:r>
        <w:t xml:space="preserve">Participants should be </w:t>
      </w:r>
      <w:r w:rsidR="00076DC6">
        <w:t xml:space="preserve">encouraged to spread out around the evidence </w:t>
      </w:r>
      <w:r w:rsidR="00AB0B2C">
        <w:t xml:space="preserve">‘stations’ </w:t>
      </w:r>
      <w:r w:rsidR="00076DC6">
        <w:t xml:space="preserve">so there are </w:t>
      </w:r>
      <w:r w:rsidR="00404415">
        <w:t xml:space="preserve">some </w:t>
      </w:r>
      <w:r w:rsidR="00076DC6">
        <w:t xml:space="preserve">people starting at each group of evidence </w:t>
      </w:r>
      <w:r>
        <w:t xml:space="preserve"> </w:t>
      </w:r>
    </w:p>
    <w:p w14:paraId="027376FB" w14:textId="1568DBC2" w:rsidR="00A55564" w:rsidRDefault="00A55564" w:rsidP="00A55564">
      <w:pPr>
        <w:pStyle w:val="ListParagraph"/>
        <w:numPr>
          <w:ilvl w:val="0"/>
          <w:numId w:val="2"/>
        </w:numPr>
      </w:pPr>
      <w:r>
        <w:t xml:space="preserve">Each </w:t>
      </w:r>
      <w:r w:rsidR="00076DC6">
        <w:t>participants</w:t>
      </w:r>
      <w:r>
        <w:t xml:space="preserve"> needs </w:t>
      </w:r>
    </w:p>
    <w:p w14:paraId="1DAF185D" w14:textId="471E6B04" w:rsidR="00404415" w:rsidRDefault="00404415" w:rsidP="00A55564">
      <w:pPr>
        <w:pStyle w:val="ListParagraph"/>
        <w:numPr>
          <w:ilvl w:val="1"/>
          <w:numId w:val="2"/>
        </w:numPr>
      </w:pPr>
      <w:r>
        <w:t xml:space="preserve">Handout with the evidence quest questions, the commercial practices &amp; possible actions frameworks </w:t>
      </w:r>
      <w:r w:rsidR="00F43B57" w:rsidRPr="00BA024A">
        <w:rPr>
          <w:color w:val="70AD47" w:themeColor="accent6"/>
        </w:rPr>
        <w:t>CDoH Essentials Section 4 iv evidence quest handout</w:t>
      </w:r>
    </w:p>
    <w:p w14:paraId="2A9D6E48" w14:textId="42E31BD2" w:rsidR="00A55564" w:rsidRDefault="00A55564" w:rsidP="00A55564">
      <w:pPr>
        <w:pStyle w:val="ListParagraph"/>
        <w:numPr>
          <w:ilvl w:val="1"/>
          <w:numId w:val="2"/>
        </w:numPr>
      </w:pPr>
      <w:r>
        <w:t>P</w:t>
      </w:r>
      <w:r w:rsidR="00404415">
        <w:t>ens, (possibly p</w:t>
      </w:r>
      <w:r>
        <w:t>aper</w:t>
      </w:r>
      <w:r w:rsidR="00404415">
        <w:t xml:space="preserve"> and</w:t>
      </w:r>
      <w:r>
        <w:t xml:space="preserve"> post-its) </w:t>
      </w:r>
    </w:p>
    <w:p w14:paraId="306EB7EA" w14:textId="1DFD7D49" w:rsidR="00FF0C4F" w:rsidRDefault="00FF0C4F" w:rsidP="00A55564">
      <w:pPr>
        <w:pStyle w:val="ListParagraph"/>
        <w:numPr>
          <w:ilvl w:val="1"/>
          <w:numId w:val="2"/>
        </w:numPr>
      </w:pPr>
      <w:r>
        <w:t xml:space="preserve">You could also provide people with this handout to help them consider public health actions: </w:t>
      </w:r>
      <w:hyperlink r:id="rId7" w:history="1">
        <w:r>
          <w:rPr>
            <w:rStyle w:val="Hyperlink"/>
            <w:rFonts w:eastAsia="Times New Roman"/>
          </w:rPr>
          <w:t>https://www.health.org.uk/sites/default/files/2023-10/Risk_factors_framework_handout_PDF.pdf</w:t>
        </w:r>
      </w:hyperlink>
      <w:r>
        <w:rPr>
          <w:rFonts w:eastAsia="Times New Roman"/>
        </w:rPr>
        <w:t xml:space="preserve"> </w:t>
      </w:r>
    </w:p>
    <w:p w14:paraId="12231901" w14:textId="77777777" w:rsidR="00076DC6" w:rsidRDefault="00076DC6" w:rsidP="00076DC6"/>
    <w:p w14:paraId="6C03BBF8" w14:textId="0B9A76AB" w:rsidR="00A55564" w:rsidRPr="00F43B57" w:rsidRDefault="00A55564" w:rsidP="00F43B57">
      <w:pPr>
        <w:pStyle w:val="Heading2"/>
        <w:rPr>
          <w:color w:val="538135" w:themeColor="accent6" w:themeShade="BF"/>
        </w:rPr>
      </w:pPr>
      <w:r w:rsidRPr="00F43B57">
        <w:rPr>
          <w:color w:val="538135" w:themeColor="accent6" w:themeShade="BF"/>
        </w:rPr>
        <w:t>Check understanding:</w:t>
      </w:r>
    </w:p>
    <w:p w14:paraId="3FC73EEF" w14:textId="6875A400" w:rsidR="00A55564" w:rsidRDefault="00A55564" w:rsidP="00A55564">
      <w:pPr>
        <w:pStyle w:val="ListParagraph"/>
        <w:numPr>
          <w:ilvl w:val="0"/>
          <w:numId w:val="2"/>
        </w:numPr>
      </w:pPr>
      <w:r>
        <w:t xml:space="preserve">The task is to </w:t>
      </w:r>
      <w:r w:rsidR="00076DC6" w:rsidRPr="00076DC6">
        <w:rPr>
          <w:b/>
          <w:bCs/>
        </w:rPr>
        <w:t>digest and discuss the evidence</w:t>
      </w:r>
      <w:r w:rsidR="00076DC6" w:rsidRPr="00076DC6">
        <w:t xml:space="preserve"> </w:t>
      </w:r>
      <w:r w:rsidR="00076DC6">
        <w:t xml:space="preserve">in the room </w:t>
      </w:r>
    </w:p>
    <w:p w14:paraId="0421727E" w14:textId="7303AF4F" w:rsidR="00076DC6" w:rsidRDefault="00076DC6" w:rsidP="00A55564">
      <w:pPr>
        <w:pStyle w:val="ListParagraph"/>
        <w:numPr>
          <w:ilvl w:val="0"/>
          <w:numId w:val="2"/>
        </w:numPr>
      </w:pPr>
      <w:r>
        <w:t xml:space="preserve">They will be asked to move round the room at particular time intervals </w:t>
      </w:r>
      <w:r w:rsidR="00404415">
        <w:t xml:space="preserve">– we suggest giving people a minimum of </w:t>
      </w:r>
      <w:r w:rsidR="00AB0B2C">
        <w:t xml:space="preserve">5 and maximum of 10 minutes based on a single issue per station </w:t>
      </w:r>
    </w:p>
    <w:p w14:paraId="002FA2B2" w14:textId="2BB1D97E" w:rsidR="00A55564" w:rsidRPr="00AB0B2C" w:rsidRDefault="00076DC6" w:rsidP="00A5556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B0B2C">
        <w:rPr>
          <w:b/>
          <w:bCs/>
          <w:color w:val="000000" w:themeColor="text1"/>
        </w:rPr>
        <w:t xml:space="preserve">If doing the quest task, </w:t>
      </w:r>
      <w:r w:rsidR="00F43B57">
        <w:rPr>
          <w:color w:val="000000" w:themeColor="text1"/>
        </w:rPr>
        <w:t>they should</w:t>
      </w:r>
      <w:r w:rsidRPr="00AB0B2C">
        <w:rPr>
          <w:color w:val="000000" w:themeColor="text1"/>
        </w:rPr>
        <w:t xml:space="preserve"> also </w:t>
      </w:r>
      <w:r w:rsidRPr="00AB0B2C">
        <w:rPr>
          <w:b/>
          <w:bCs/>
          <w:color w:val="000000" w:themeColor="text1"/>
        </w:rPr>
        <w:t>identify examples of</w:t>
      </w:r>
      <w:r w:rsidR="00A55564" w:rsidRPr="00AB0B2C">
        <w:rPr>
          <w:b/>
          <w:bCs/>
          <w:color w:val="000000" w:themeColor="text1"/>
        </w:rPr>
        <w:t xml:space="preserve"> mechanisms</w:t>
      </w:r>
      <w:r w:rsidR="00AB0B2C" w:rsidRPr="00AB0B2C">
        <w:rPr>
          <w:b/>
          <w:bCs/>
          <w:color w:val="000000" w:themeColor="text1"/>
        </w:rPr>
        <w:t xml:space="preserve"> and commercial practices</w:t>
      </w:r>
      <w:r w:rsidR="00A55564" w:rsidRPr="00AB0B2C">
        <w:rPr>
          <w:color w:val="000000" w:themeColor="text1"/>
        </w:rPr>
        <w:t xml:space="preserve"> through which the Commercial Determinants of Health are affecting health and health inequalities</w:t>
      </w:r>
      <w:r w:rsidRPr="00AB0B2C">
        <w:rPr>
          <w:color w:val="000000" w:themeColor="text1"/>
        </w:rPr>
        <w:t xml:space="preserve"> - encourage people to note these down on their </w:t>
      </w:r>
      <w:r w:rsidR="00AB0B2C" w:rsidRPr="00AB0B2C">
        <w:rPr>
          <w:color w:val="000000" w:themeColor="text1"/>
        </w:rPr>
        <w:t>handout</w:t>
      </w:r>
      <w:r w:rsidRPr="00AB0B2C">
        <w:rPr>
          <w:color w:val="000000" w:themeColor="text1"/>
        </w:rPr>
        <w:t xml:space="preserve">  </w:t>
      </w:r>
    </w:p>
    <w:p w14:paraId="3E813C63" w14:textId="65FFEDD8" w:rsidR="00A55564" w:rsidRDefault="00076DC6" w:rsidP="00A5556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B0B2C">
        <w:rPr>
          <w:b/>
          <w:bCs/>
          <w:color w:val="000000" w:themeColor="text1"/>
        </w:rPr>
        <w:t xml:space="preserve">If doing the quest task, </w:t>
      </w:r>
      <w:r w:rsidR="00F43B57">
        <w:rPr>
          <w:color w:val="000000" w:themeColor="text1"/>
        </w:rPr>
        <w:t>they should</w:t>
      </w:r>
      <w:r w:rsidR="00F43B57" w:rsidRPr="00AB0B2C">
        <w:rPr>
          <w:color w:val="000000" w:themeColor="text1"/>
        </w:rPr>
        <w:t xml:space="preserve"> also </w:t>
      </w:r>
      <w:r w:rsidR="00A55564" w:rsidRPr="00AB0B2C">
        <w:rPr>
          <w:b/>
          <w:bCs/>
          <w:color w:val="000000" w:themeColor="text1"/>
        </w:rPr>
        <w:t>identify ways these could be addressed</w:t>
      </w:r>
      <w:r w:rsidR="00A55564" w:rsidRPr="00AB0B2C">
        <w:rPr>
          <w:color w:val="000000" w:themeColor="text1"/>
        </w:rPr>
        <w:t xml:space="preserve"> to improve health and equality</w:t>
      </w:r>
      <w:r w:rsidRPr="00AB0B2C">
        <w:rPr>
          <w:color w:val="000000" w:themeColor="text1"/>
        </w:rPr>
        <w:t xml:space="preserve"> -encourage people to note these down on their </w:t>
      </w:r>
      <w:r w:rsidR="00AB0B2C" w:rsidRPr="00AB0B2C">
        <w:rPr>
          <w:color w:val="000000" w:themeColor="text1"/>
        </w:rPr>
        <w:t>handout</w:t>
      </w:r>
      <w:r w:rsidRPr="00AB0B2C">
        <w:rPr>
          <w:color w:val="000000" w:themeColor="text1"/>
        </w:rPr>
        <w:t xml:space="preserve"> </w:t>
      </w:r>
      <w:r w:rsidR="00A55564" w:rsidRPr="00AB0B2C">
        <w:rPr>
          <w:color w:val="000000" w:themeColor="text1"/>
        </w:rPr>
        <w:t xml:space="preserve"> </w:t>
      </w:r>
      <w:r w:rsidR="00F43B57">
        <w:rPr>
          <w:color w:val="000000" w:themeColor="text1"/>
        </w:rPr>
        <w:t xml:space="preserve"> </w:t>
      </w:r>
    </w:p>
    <w:p w14:paraId="1F57DAF1" w14:textId="77777777" w:rsidR="00AB0B2C" w:rsidRPr="00AB0B2C" w:rsidRDefault="00AB0B2C" w:rsidP="00AB0B2C">
      <w:pPr>
        <w:rPr>
          <w:color w:val="000000" w:themeColor="text1"/>
        </w:rPr>
      </w:pPr>
    </w:p>
    <w:p w14:paraId="4CBBC884" w14:textId="6BEBE742" w:rsidR="00A55564" w:rsidRPr="00F43B57" w:rsidRDefault="00AB0B2C" w:rsidP="00F43B57">
      <w:pPr>
        <w:pStyle w:val="Heading2"/>
        <w:rPr>
          <w:color w:val="538135" w:themeColor="accent6" w:themeShade="BF"/>
        </w:rPr>
      </w:pPr>
      <w:r w:rsidRPr="00F43B57">
        <w:rPr>
          <w:color w:val="538135" w:themeColor="accent6" w:themeShade="BF"/>
        </w:rPr>
        <w:t>During the task:</w:t>
      </w:r>
    </w:p>
    <w:p w14:paraId="12EF5847" w14:textId="0E335C31" w:rsidR="00AB0B2C" w:rsidRDefault="00AB0B2C" w:rsidP="00AB0B2C">
      <w:pPr>
        <w:pStyle w:val="ListParagraph"/>
        <w:numPr>
          <w:ilvl w:val="0"/>
          <w:numId w:val="5"/>
        </w:numPr>
      </w:pPr>
      <w:r>
        <w:t xml:space="preserve">Give people reminders when you want them to move on to the next ‘station’ </w:t>
      </w:r>
    </w:p>
    <w:p w14:paraId="1027FA75" w14:textId="77777777" w:rsidR="00AB0B2C" w:rsidRDefault="00AB0B2C" w:rsidP="00AB0B2C"/>
    <w:p w14:paraId="4E239BBA" w14:textId="4F7CB89D" w:rsidR="00AB0B2C" w:rsidRPr="00F43B57" w:rsidRDefault="00AB0B2C" w:rsidP="00F43B57">
      <w:pPr>
        <w:pStyle w:val="Heading2"/>
        <w:rPr>
          <w:color w:val="538135" w:themeColor="accent6" w:themeShade="BF"/>
        </w:rPr>
      </w:pPr>
      <w:r w:rsidRPr="00F43B57">
        <w:rPr>
          <w:color w:val="538135" w:themeColor="accent6" w:themeShade="BF"/>
        </w:rPr>
        <w:t>At the end of the task</w:t>
      </w:r>
    </w:p>
    <w:p w14:paraId="2124E9AA" w14:textId="1B37F307" w:rsidR="00AB0B2C" w:rsidRDefault="00AB0B2C" w:rsidP="00AB0B2C">
      <w:pPr>
        <w:pStyle w:val="ListParagraph"/>
        <w:numPr>
          <w:ilvl w:val="0"/>
          <w:numId w:val="5"/>
        </w:numPr>
      </w:pPr>
      <w:r>
        <w:t xml:space="preserve">You may want to get some feedback from participants about some of the commercial practices and actions they spotted </w:t>
      </w:r>
      <w:r w:rsidR="00F43B57">
        <w:t xml:space="preserve">– see overview for suggested timings and experiences from the action research trials. </w:t>
      </w:r>
    </w:p>
    <w:p w14:paraId="4CB1C917" w14:textId="77777777" w:rsidR="00AB0B2C" w:rsidRDefault="00AB0B2C" w:rsidP="00AB0B2C"/>
    <w:p w14:paraId="16D13BCE" w14:textId="00832E0F" w:rsidR="00D35DBF" w:rsidRPr="00F43B57" w:rsidRDefault="000A452A" w:rsidP="00F43B57">
      <w:pPr>
        <w:pStyle w:val="Heading2"/>
        <w:rPr>
          <w:color w:val="538135" w:themeColor="accent6" w:themeShade="BF"/>
        </w:rPr>
      </w:pPr>
      <w:r w:rsidRPr="00F43B57">
        <w:rPr>
          <w:color w:val="538135" w:themeColor="accent6" w:themeShade="BF"/>
        </w:rPr>
        <w:t>Clear up</w:t>
      </w:r>
    </w:p>
    <w:p w14:paraId="438AAEB2" w14:textId="6774883A" w:rsidR="000A452A" w:rsidRDefault="000A452A" w:rsidP="000A452A">
      <w:pPr>
        <w:pStyle w:val="ListParagraph"/>
        <w:numPr>
          <w:ilvl w:val="0"/>
          <w:numId w:val="4"/>
        </w:numPr>
      </w:pPr>
      <w:r>
        <w:t xml:space="preserve">Collect in all the hard copies so </w:t>
      </w:r>
      <w:r w:rsidR="00E95A2B">
        <w:t>you</w:t>
      </w:r>
      <w:r>
        <w:t xml:space="preserve"> can re-use </w:t>
      </w:r>
    </w:p>
    <w:p w14:paraId="1F930360" w14:textId="2C266FD2" w:rsidR="000A452A" w:rsidRDefault="000A452A" w:rsidP="000A452A">
      <w:pPr>
        <w:pStyle w:val="ListParagraph"/>
        <w:numPr>
          <w:ilvl w:val="0"/>
          <w:numId w:val="4"/>
        </w:numPr>
      </w:pPr>
      <w:r>
        <w:t>Materials and resources can be circulated afterwards</w:t>
      </w:r>
    </w:p>
    <w:p w14:paraId="599C838F" w14:textId="77777777" w:rsidR="000A452A" w:rsidRDefault="000A452A"/>
    <w:sectPr w:rsidR="000A452A" w:rsidSect="002221D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2916" w14:textId="77777777" w:rsidR="00112AE5" w:rsidRDefault="00112AE5" w:rsidP="00F43B57">
      <w:pPr>
        <w:spacing w:after="0" w:line="240" w:lineRule="auto"/>
      </w:pPr>
      <w:r>
        <w:separator/>
      </w:r>
    </w:p>
  </w:endnote>
  <w:endnote w:type="continuationSeparator" w:id="0">
    <w:p w14:paraId="58E615AB" w14:textId="77777777" w:rsidR="00112AE5" w:rsidRDefault="00112AE5" w:rsidP="00F4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0CBE" w14:textId="433695E0" w:rsidR="00F43B57" w:rsidRDefault="00F43B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41B7F9" wp14:editId="77B7A609">
          <wp:simplePos x="0" y="0"/>
          <wp:positionH relativeFrom="margin">
            <wp:posOffset>-132715</wp:posOffset>
          </wp:positionH>
          <wp:positionV relativeFrom="paragraph">
            <wp:posOffset>151765</wp:posOffset>
          </wp:positionV>
          <wp:extent cx="466725" cy="466725"/>
          <wp:effectExtent l="0" t="0" r="0" b="9525"/>
          <wp:wrapNone/>
          <wp:docPr id="3" name="Graphic 3" descr="Gears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Gears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25C8DB" wp14:editId="2BF8829E">
          <wp:simplePos x="0" y="0"/>
          <wp:positionH relativeFrom="margin">
            <wp:posOffset>-323215</wp:posOffset>
          </wp:positionH>
          <wp:positionV relativeFrom="paragraph">
            <wp:posOffset>9525</wp:posOffset>
          </wp:positionV>
          <wp:extent cx="457200" cy="457200"/>
          <wp:effectExtent l="0" t="0" r="0" b="0"/>
          <wp:wrapNone/>
          <wp:docPr id="10" name="Graphic 10" descr="Single gea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Single gear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36354" wp14:editId="38627370">
              <wp:simplePos x="0" y="0"/>
              <wp:positionH relativeFrom="column">
                <wp:posOffset>-447675</wp:posOffset>
              </wp:positionH>
              <wp:positionV relativeFrom="paragraph">
                <wp:posOffset>-9525</wp:posOffset>
              </wp:positionV>
              <wp:extent cx="7534275" cy="619125"/>
              <wp:effectExtent l="0" t="0" r="952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6191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3584FA" w14:textId="77777777" w:rsidR="00F43B57" w:rsidRPr="008260BB" w:rsidRDefault="00F43B57" w:rsidP="00F43B57">
                          <w:pPr>
                            <w:jc w:val="right"/>
                            <w:rPr>
                              <w:color w:val="538135" w:themeColor="accent6" w:themeShade="BF"/>
                            </w:rPr>
                          </w:pPr>
                          <w:bookmarkStart w:id="0" w:name="_Hlk161151532"/>
                          <w:bookmarkStart w:id="1" w:name="_Hlk161151533"/>
                          <w:r w:rsidRPr="008260BB">
                            <w:rPr>
                              <w:color w:val="538135" w:themeColor="accent6" w:themeShade="BF"/>
                            </w:rPr>
                            <w:t>This document is part of CDoH Essentials (2024) Brook et al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36354" id="Rectangle 9" o:spid="_x0000_s1026" style="position:absolute;margin-left:-35.25pt;margin-top:-.75pt;width:593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" fillcolor="#e2efd9 [665]" stroked="f" strokeweight="1pt">
              <v:textbox>
                <w:txbxContent>
                  <w:p w14:paraId="2A3584FA" w14:textId="77777777" w:rsidR="00F43B57" w:rsidRPr="008260BB" w:rsidRDefault="00F43B57" w:rsidP="00F43B57">
                    <w:pPr>
                      <w:jc w:val="right"/>
                      <w:rPr>
                        <w:color w:val="538135" w:themeColor="accent6" w:themeShade="BF"/>
                      </w:rPr>
                    </w:pPr>
                    <w:bookmarkStart w:id="2" w:name="_Hlk161151532"/>
                    <w:bookmarkStart w:id="3" w:name="_Hlk161151533"/>
                    <w:r w:rsidRPr="008260BB">
                      <w:rPr>
                        <w:color w:val="538135" w:themeColor="accent6" w:themeShade="BF"/>
                      </w:rPr>
                      <w:t>This document is part of CDoH Essentials (2024) Brook et al</w:t>
                    </w:r>
                    <w:bookmarkEnd w:id="2"/>
                    <w:bookmarkEnd w:id="3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80DB" w14:textId="77777777" w:rsidR="00112AE5" w:rsidRDefault="00112AE5" w:rsidP="00F43B57">
      <w:pPr>
        <w:spacing w:after="0" w:line="240" w:lineRule="auto"/>
      </w:pPr>
      <w:r>
        <w:separator/>
      </w:r>
    </w:p>
  </w:footnote>
  <w:footnote w:type="continuationSeparator" w:id="0">
    <w:p w14:paraId="275B2273" w14:textId="77777777" w:rsidR="00112AE5" w:rsidRDefault="00112AE5" w:rsidP="00F4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573"/>
    <w:multiLevelType w:val="hybridMultilevel"/>
    <w:tmpl w:val="5F407D38"/>
    <w:lvl w:ilvl="0" w:tplc="47AE52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4BE1"/>
    <w:multiLevelType w:val="hybridMultilevel"/>
    <w:tmpl w:val="5E4629EE"/>
    <w:lvl w:ilvl="0" w:tplc="47AE52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2695E"/>
    <w:multiLevelType w:val="hybridMultilevel"/>
    <w:tmpl w:val="17C8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7648"/>
    <w:multiLevelType w:val="hybridMultilevel"/>
    <w:tmpl w:val="BC0CC85C"/>
    <w:lvl w:ilvl="0" w:tplc="47AE52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019B0"/>
    <w:multiLevelType w:val="hybridMultilevel"/>
    <w:tmpl w:val="EE8044AA"/>
    <w:lvl w:ilvl="0" w:tplc="88FEE5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6822">
    <w:abstractNumId w:val="2"/>
  </w:num>
  <w:num w:numId="2" w16cid:durableId="12805374">
    <w:abstractNumId w:val="3"/>
  </w:num>
  <w:num w:numId="3" w16cid:durableId="748502897">
    <w:abstractNumId w:val="0"/>
  </w:num>
  <w:num w:numId="4" w16cid:durableId="147864891">
    <w:abstractNumId w:val="1"/>
  </w:num>
  <w:num w:numId="5" w16cid:durableId="329069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77"/>
    <w:rsid w:val="00076DC6"/>
    <w:rsid w:val="000A452A"/>
    <w:rsid w:val="000B390F"/>
    <w:rsid w:val="00112AE5"/>
    <w:rsid w:val="002221D0"/>
    <w:rsid w:val="003178BC"/>
    <w:rsid w:val="00404415"/>
    <w:rsid w:val="00705FB2"/>
    <w:rsid w:val="00787877"/>
    <w:rsid w:val="009171B0"/>
    <w:rsid w:val="0096384A"/>
    <w:rsid w:val="00A55564"/>
    <w:rsid w:val="00AB0B2C"/>
    <w:rsid w:val="00D1715D"/>
    <w:rsid w:val="00D35DBF"/>
    <w:rsid w:val="00E95A2B"/>
    <w:rsid w:val="00F43B57"/>
    <w:rsid w:val="00F80EAB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AD12"/>
  <w15:chartTrackingRefBased/>
  <w15:docId w15:val="{9AC27EDA-8CCC-4AA5-890F-2A6E8429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B57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2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1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0C4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3B57"/>
    <w:rPr>
      <w:rFonts w:eastAsiaTheme="majorEastAsia" w:cstheme="minorHAnsi"/>
      <w:b/>
      <w:bCs/>
      <w:color w:val="538135" w:themeColor="accent6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57"/>
  </w:style>
  <w:style w:type="paragraph" w:styleId="Footer">
    <w:name w:val="footer"/>
    <w:basedOn w:val="Normal"/>
    <w:link w:val="FooterChar"/>
    <w:uiPriority w:val="99"/>
    <w:unhideWhenUsed/>
    <w:rsid w:val="00F4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alth.org.uk/sites/default/files/2023-10/Risk_factors_framework_handout_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Brook</dc:creator>
  <cp:keywords/>
  <dc:description/>
  <cp:lastModifiedBy>Anna Brook</cp:lastModifiedBy>
  <cp:revision>3</cp:revision>
  <dcterms:created xsi:type="dcterms:W3CDTF">2024-02-19T17:02:00Z</dcterms:created>
  <dcterms:modified xsi:type="dcterms:W3CDTF">2024-03-17T12:56:00Z</dcterms:modified>
</cp:coreProperties>
</file>