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E362" w14:textId="601D6D13" w:rsidR="00BE7CA9" w:rsidRPr="00BA024A" w:rsidRDefault="00B12BFE" w:rsidP="00BE7CA9">
      <w:pPr>
        <w:pStyle w:val="Heading1"/>
        <w:rPr>
          <w:rFonts w:asciiTheme="minorHAnsi" w:hAnsiTheme="minorHAnsi" w:cstheme="minorHAnsi"/>
          <w:b/>
          <w:bCs/>
          <w:color w:val="538135" w:themeColor="accent6" w:themeShade="BF"/>
        </w:rPr>
      </w:pPr>
      <w:r w:rsidRPr="00BA024A">
        <w:rPr>
          <w:rFonts w:asciiTheme="minorHAnsi" w:hAnsiTheme="minorHAnsi" w:cstheme="minorHAnsi"/>
          <w:b/>
          <w:bCs/>
          <w:color w:val="538135" w:themeColor="accent6" w:themeShade="BF"/>
        </w:rPr>
        <w:t>Section 4</w:t>
      </w:r>
      <w:r w:rsidR="00BE7CA9" w:rsidRPr="00BA024A">
        <w:rPr>
          <w:rFonts w:asciiTheme="minorHAnsi" w:hAnsiTheme="minorHAnsi" w:cstheme="minorHAnsi"/>
          <w:b/>
          <w:bCs/>
          <w:color w:val="538135" w:themeColor="accent6" w:themeShade="BF"/>
        </w:rPr>
        <w:t xml:space="preserve"> overview </w:t>
      </w:r>
    </w:p>
    <w:p w14:paraId="4864FFB1" w14:textId="77777777" w:rsidR="00BE7CA9" w:rsidRDefault="00BE7CA9" w:rsidP="00BE7CA9">
      <w:r>
        <w:t xml:space="preserve">Summary: </w:t>
      </w:r>
    </w:p>
    <w:tbl>
      <w:tblPr>
        <w:tblStyle w:val="TableGrid"/>
        <w:tblW w:w="0" w:type="auto"/>
        <w:tblLook w:val="04A0" w:firstRow="1" w:lastRow="0" w:firstColumn="1" w:lastColumn="0" w:noHBand="0" w:noVBand="1"/>
      </w:tblPr>
      <w:tblGrid>
        <w:gridCol w:w="2001"/>
        <w:gridCol w:w="517"/>
        <w:gridCol w:w="5467"/>
        <w:gridCol w:w="1218"/>
        <w:gridCol w:w="1253"/>
      </w:tblGrid>
      <w:tr w:rsidR="00BA024A" w:rsidRPr="00BA024A" w14:paraId="227E35AB" w14:textId="77777777" w:rsidTr="009B2B44">
        <w:tc>
          <w:tcPr>
            <w:tcW w:w="2019" w:type="dxa"/>
          </w:tcPr>
          <w:p w14:paraId="65B20204" w14:textId="5F82E331" w:rsidR="00BE7CA9" w:rsidRPr="00BA024A" w:rsidRDefault="00BE7CA9" w:rsidP="009B2B44">
            <w:pPr>
              <w:rPr>
                <w:b/>
                <w:bCs/>
                <w:color w:val="538135" w:themeColor="accent6" w:themeShade="BF"/>
                <w:sz w:val="24"/>
                <w:szCs w:val="24"/>
              </w:rPr>
            </w:pPr>
            <w:r w:rsidRPr="00BA024A">
              <w:rPr>
                <w:b/>
                <w:bCs/>
                <w:color w:val="538135" w:themeColor="accent6" w:themeShade="BF"/>
                <w:sz w:val="24"/>
                <w:szCs w:val="24"/>
              </w:rPr>
              <w:t>Content</w:t>
            </w:r>
            <w:r w:rsidR="00BA024A">
              <w:rPr>
                <w:b/>
                <w:bCs/>
                <w:color w:val="538135" w:themeColor="accent6" w:themeShade="BF"/>
                <w:sz w:val="24"/>
                <w:szCs w:val="24"/>
              </w:rPr>
              <w:t xml:space="preserve"> covered </w:t>
            </w:r>
          </w:p>
        </w:tc>
        <w:tc>
          <w:tcPr>
            <w:tcW w:w="517" w:type="dxa"/>
          </w:tcPr>
          <w:p w14:paraId="79042FB0" w14:textId="77777777" w:rsidR="00BE7CA9" w:rsidRPr="00BA024A" w:rsidRDefault="00BE7CA9" w:rsidP="009B2B44">
            <w:pPr>
              <w:rPr>
                <w:b/>
                <w:bCs/>
                <w:color w:val="538135" w:themeColor="accent6" w:themeShade="BF"/>
                <w:sz w:val="24"/>
                <w:szCs w:val="24"/>
              </w:rPr>
            </w:pPr>
            <w:r w:rsidRPr="00BA024A">
              <w:rPr>
                <w:b/>
                <w:bCs/>
                <w:color w:val="538135" w:themeColor="accent6" w:themeShade="BF"/>
                <w:sz w:val="24"/>
                <w:szCs w:val="24"/>
              </w:rPr>
              <w:t>ref</w:t>
            </w:r>
          </w:p>
        </w:tc>
        <w:tc>
          <w:tcPr>
            <w:tcW w:w="5475" w:type="dxa"/>
          </w:tcPr>
          <w:p w14:paraId="30A663C8" w14:textId="77777777" w:rsidR="00BE7CA9" w:rsidRPr="00BA024A" w:rsidRDefault="00BE7CA9" w:rsidP="009B2B44">
            <w:pPr>
              <w:rPr>
                <w:b/>
                <w:bCs/>
                <w:color w:val="538135" w:themeColor="accent6" w:themeShade="BF"/>
                <w:sz w:val="24"/>
                <w:szCs w:val="24"/>
              </w:rPr>
            </w:pPr>
            <w:r w:rsidRPr="00BA024A">
              <w:rPr>
                <w:b/>
                <w:bCs/>
                <w:color w:val="538135" w:themeColor="accent6" w:themeShade="BF"/>
                <w:sz w:val="24"/>
                <w:szCs w:val="24"/>
              </w:rPr>
              <w:t xml:space="preserve">Delivery method </w:t>
            </w:r>
          </w:p>
        </w:tc>
        <w:tc>
          <w:tcPr>
            <w:tcW w:w="1191" w:type="dxa"/>
          </w:tcPr>
          <w:p w14:paraId="7A4EB869" w14:textId="77777777" w:rsidR="00BE7CA9" w:rsidRPr="00BA024A" w:rsidRDefault="00BE7CA9" w:rsidP="009B2B44">
            <w:pPr>
              <w:rPr>
                <w:b/>
                <w:bCs/>
                <w:color w:val="538135" w:themeColor="accent6" w:themeShade="BF"/>
                <w:sz w:val="24"/>
                <w:szCs w:val="24"/>
              </w:rPr>
            </w:pPr>
            <w:r w:rsidRPr="00BA024A">
              <w:rPr>
                <w:b/>
                <w:bCs/>
                <w:color w:val="538135" w:themeColor="accent6" w:themeShade="BF"/>
                <w:sz w:val="24"/>
                <w:szCs w:val="24"/>
              </w:rPr>
              <w:t xml:space="preserve">Estimated time </w:t>
            </w:r>
          </w:p>
        </w:tc>
        <w:tc>
          <w:tcPr>
            <w:tcW w:w="1254" w:type="dxa"/>
          </w:tcPr>
          <w:p w14:paraId="39057C4C" w14:textId="674C84A4" w:rsidR="00BE7CA9" w:rsidRPr="00BA024A" w:rsidRDefault="00BE7CA9" w:rsidP="009B2B44">
            <w:pPr>
              <w:rPr>
                <w:b/>
                <w:bCs/>
                <w:color w:val="538135" w:themeColor="accent6" w:themeShade="BF"/>
                <w:sz w:val="24"/>
                <w:szCs w:val="24"/>
              </w:rPr>
            </w:pPr>
            <w:r w:rsidRPr="00BA024A">
              <w:rPr>
                <w:b/>
                <w:bCs/>
                <w:color w:val="538135" w:themeColor="accent6" w:themeShade="BF"/>
                <w:sz w:val="24"/>
                <w:szCs w:val="24"/>
              </w:rPr>
              <w:t>Linked learning objectives</w:t>
            </w:r>
          </w:p>
        </w:tc>
      </w:tr>
      <w:tr w:rsidR="00B12BFE" w:rsidRPr="009C2FBE" w14:paraId="504646FF" w14:textId="77777777" w:rsidTr="00BE7CA9">
        <w:tc>
          <w:tcPr>
            <w:tcW w:w="2019" w:type="dxa"/>
            <w:vMerge w:val="restart"/>
          </w:tcPr>
          <w:p w14:paraId="2309A87B" w14:textId="49B24C32" w:rsidR="00B12BFE" w:rsidRPr="009C2FBE" w:rsidRDefault="00B12BFE" w:rsidP="00B12BFE">
            <w:r>
              <w:t xml:space="preserve">Present established facts about commercial practices  </w:t>
            </w:r>
          </w:p>
        </w:tc>
        <w:tc>
          <w:tcPr>
            <w:tcW w:w="517" w:type="dxa"/>
          </w:tcPr>
          <w:p w14:paraId="4491388C" w14:textId="64BDBC69" w:rsidR="00B12BFE" w:rsidRDefault="00B12BFE" w:rsidP="00B12BFE">
            <w:r>
              <w:t>4a</w:t>
            </w:r>
          </w:p>
        </w:tc>
        <w:tc>
          <w:tcPr>
            <w:tcW w:w="5475" w:type="dxa"/>
          </w:tcPr>
          <w:p w14:paraId="12331FBD" w14:textId="7C2A6115" w:rsidR="00B12BFE" w:rsidRDefault="00B12BFE" w:rsidP="00B12BFE">
            <w:r>
              <w:t xml:space="preserve">Evidence quest </w:t>
            </w:r>
            <w:hyperlink r:id="rId7" w:history="1">
              <w:r w:rsidRPr="00095FF0">
                <w:rPr>
                  <w:rStyle w:val="Hyperlink"/>
                </w:rPr>
                <w:t>https://openpolicy.blog.gov.uk/2016/03/07/exploring-the-evidence/</w:t>
              </w:r>
            </w:hyperlink>
            <w:r>
              <w:t xml:space="preserve"> in the room d</w:t>
            </w:r>
            <w:r w:rsidRPr="00A2750A">
              <w:t xml:space="preserve">emonstrating </w:t>
            </w:r>
            <w:r>
              <w:t>commercial practices</w:t>
            </w:r>
            <w:r w:rsidRPr="00A2750A">
              <w:t xml:space="preserve"> </w:t>
            </w:r>
            <w:r>
              <w:t>through</w:t>
            </w:r>
            <w:r w:rsidRPr="00A2750A">
              <w:t xml:space="preserve"> case studies</w:t>
            </w:r>
            <w:r>
              <w:t xml:space="preserve"> (ensure some demonstrate unequal exposure and impact on inequalities)</w:t>
            </w:r>
            <w:r w:rsidRPr="00A2750A">
              <w:t>, and timelines showing the manufacture of doubt</w:t>
            </w:r>
            <w:r>
              <w:t xml:space="preserve"> by different industries  </w:t>
            </w:r>
          </w:p>
        </w:tc>
        <w:tc>
          <w:tcPr>
            <w:tcW w:w="1191" w:type="dxa"/>
          </w:tcPr>
          <w:p w14:paraId="4E555712" w14:textId="0A1059D7" w:rsidR="00B12BFE" w:rsidRPr="009C2FBE" w:rsidRDefault="00B12BFE" w:rsidP="00B12BFE">
            <w:r>
              <w:t>20-45mins+</w:t>
            </w:r>
          </w:p>
        </w:tc>
        <w:tc>
          <w:tcPr>
            <w:tcW w:w="1254" w:type="dxa"/>
          </w:tcPr>
          <w:p w14:paraId="0496A92B" w14:textId="77777777" w:rsidR="00B12BFE" w:rsidRDefault="00B12BFE" w:rsidP="00B12BFE">
            <w:r>
              <w:t>L1, L2, L3</w:t>
            </w:r>
          </w:p>
          <w:p w14:paraId="2D0FC005" w14:textId="30533EA2" w:rsidR="00B12BFE" w:rsidRDefault="00B12BFE" w:rsidP="00B12BFE"/>
        </w:tc>
      </w:tr>
      <w:tr w:rsidR="00B12BFE" w:rsidRPr="009C2FBE" w14:paraId="3BAE021E" w14:textId="77777777" w:rsidTr="00BE7CA9">
        <w:tc>
          <w:tcPr>
            <w:tcW w:w="2019" w:type="dxa"/>
            <w:vMerge/>
          </w:tcPr>
          <w:p w14:paraId="331E93E8" w14:textId="77777777" w:rsidR="00B12BFE" w:rsidRDefault="00B12BFE" w:rsidP="00B12BFE"/>
        </w:tc>
        <w:tc>
          <w:tcPr>
            <w:tcW w:w="517" w:type="dxa"/>
          </w:tcPr>
          <w:p w14:paraId="371CFB01" w14:textId="3350C13D" w:rsidR="00B12BFE" w:rsidRDefault="00B12BFE" w:rsidP="00B12BFE">
            <w:r>
              <w:t>4b</w:t>
            </w:r>
          </w:p>
        </w:tc>
        <w:tc>
          <w:tcPr>
            <w:tcW w:w="5475" w:type="dxa"/>
          </w:tcPr>
          <w:p w14:paraId="6DD63964" w14:textId="1DBF5F62" w:rsidR="00B12BFE" w:rsidRDefault="00B12BFE" w:rsidP="00B12BFE">
            <w:r>
              <w:t xml:space="preserve">As an exercise, attendees are given simplified frameworks (there is one for commercial practices and one for public health actions which can be used if the extension to this quest is used with case studies of action as well as commercial practices) and encouraged to find examples round the room and fill in brief details on a sheet as they find them  </w:t>
            </w:r>
          </w:p>
        </w:tc>
        <w:tc>
          <w:tcPr>
            <w:tcW w:w="1191" w:type="dxa"/>
          </w:tcPr>
          <w:p w14:paraId="4E649DF9" w14:textId="77777777" w:rsidR="00B12BFE" w:rsidRPr="009C2FBE" w:rsidRDefault="00B12BFE" w:rsidP="00B12BFE"/>
        </w:tc>
        <w:tc>
          <w:tcPr>
            <w:tcW w:w="1254" w:type="dxa"/>
          </w:tcPr>
          <w:p w14:paraId="68A922EE" w14:textId="099AE4A2" w:rsidR="00B12BFE" w:rsidRPr="009C2FBE" w:rsidRDefault="00B12BFE" w:rsidP="00B12BFE">
            <w:r>
              <w:t>L1, L3, L4, L5, L6</w:t>
            </w:r>
          </w:p>
        </w:tc>
      </w:tr>
      <w:tr w:rsidR="00B12BFE" w14:paraId="09920DF8" w14:textId="77777777" w:rsidTr="00BE7CA9">
        <w:tc>
          <w:tcPr>
            <w:tcW w:w="2019" w:type="dxa"/>
          </w:tcPr>
          <w:p w14:paraId="1D9403D4" w14:textId="73F19111" w:rsidR="00B12BFE" w:rsidRDefault="00B12BFE" w:rsidP="00B12BFE">
            <w:r>
              <w:t xml:space="preserve">Present examples of action and evidence of public support </w:t>
            </w:r>
          </w:p>
        </w:tc>
        <w:tc>
          <w:tcPr>
            <w:tcW w:w="517" w:type="dxa"/>
          </w:tcPr>
          <w:p w14:paraId="5263A811" w14:textId="4C5E25B6" w:rsidR="00B12BFE" w:rsidRDefault="00B12BFE" w:rsidP="00B12BFE">
            <w:r>
              <w:t>4c</w:t>
            </w:r>
          </w:p>
        </w:tc>
        <w:tc>
          <w:tcPr>
            <w:tcW w:w="5475" w:type="dxa"/>
          </w:tcPr>
          <w:p w14:paraId="00D9EA53" w14:textId="169358B5" w:rsidR="00B12BFE" w:rsidRDefault="00B12BFE" w:rsidP="00B12BFE">
            <w:r>
              <w:t xml:space="preserve">An addition to the evidence </w:t>
            </w:r>
            <w:proofErr w:type="gramStart"/>
            <w:r>
              <w:t>quest</w:t>
            </w:r>
            <w:proofErr w:type="gramEnd"/>
            <w:r>
              <w:t xml:space="preserve"> on commercial practices could be the case studies to be used in other exercises including examples of successful action  </w:t>
            </w:r>
          </w:p>
          <w:p w14:paraId="54337C07" w14:textId="5C23A00C" w:rsidR="00B12BFE" w:rsidRDefault="00B12BFE" w:rsidP="00B12BFE">
            <w:r>
              <w:t xml:space="preserve">An addition to the evidence quest could be infographics showing public support for different actions to address CDoH </w:t>
            </w:r>
          </w:p>
        </w:tc>
        <w:tc>
          <w:tcPr>
            <w:tcW w:w="1191" w:type="dxa"/>
          </w:tcPr>
          <w:p w14:paraId="5629E8F1" w14:textId="77777777" w:rsidR="00B12BFE" w:rsidRDefault="00B12BFE" w:rsidP="00B12BFE"/>
        </w:tc>
        <w:tc>
          <w:tcPr>
            <w:tcW w:w="1254" w:type="dxa"/>
          </w:tcPr>
          <w:p w14:paraId="6F2C1798" w14:textId="3E23A724" w:rsidR="00B12BFE" w:rsidRDefault="00B12BFE" w:rsidP="00B12BFE">
            <w:r>
              <w:t>L1, L3, L4, L5, L6</w:t>
            </w:r>
          </w:p>
        </w:tc>
      </w:tr>
    </w:tbl>
    <w:p w14:paraId="2D7D4B65" w14:textId="77777777" w:rsidR="00BE7CA9" w:rsidRDefault="00BE7CA9" w:rsidP="00BE7CA9"/>
    <w:p w14:paraId="3AC23E27" w14:textId="77777777" w:rsidR="00BE7CA9" w:rsidRPr="00BA024A" w:rsidRDefault="00BE7CA9" w:rsidP="00BA024A">
      <w:pPr>
        <w:pStyle w:val="Heading2"/>
        <w:rPr>
          <w:color w:val="538135" w:themeColor="accent6" w:themeShade="BF"/>
        </w:rPr>
      </w:pPr>
      <w:r w:rsidRPr="00BA024A">
        <w:rPr>
          <w:color w:val="538135" w:themeColor="accent6" w:themeShade="BF"/>
        </w:rPr>
        <w:t>What do you need for this section?</w:t>
      </w:r>
    </w:p>
    <w:p w14:paraId="60B2DC57" w14:textId="108D3945" w:rsidR="00DD7BAF" w:rsidRPr="002221D0" w:rsidRDefault="00DD7BAF" w:rsidP="00DD7BAF">
      <w:pPr>
        <w:pStyle w:val="ListParagraph"/>
        <w:numPr>
          <w:ilvl w:val="0"/>
          <w:numId w:val="1"/>
        </w:numPr>
      </w:pPr>
      <w:r w:rsidRPr="002221D0">
        <w:t>A slide explaining the task</w:t>
      </w:r>
      <w:r>
        <w:t xml:space="preserve">/s </w:t>
      </w:r>
      <w:r w:rsidR="00BA024A">
        <w:t xml:space="preserve">(see: </w:t>
      </w:r>
      <w:r w:rsidR="00BA024A" w:rsidRPr="00BA024A">
        <w:rPr>
          <w:color w:val="70AD47" w:themeColor="accent6"/>
        </w:rPr>
        <w:t>CDoH Essentials Section 4 ii slide explaining evidence quest exercise</w:t>
      </w:r>
      <w:r w:rsidR="00BA024A">
        <w:t>)</w:t>
      </w:r>
    </w:p>
    <w:p w14:paraId="36BBE0FB" w14:textId="03EF8AF5" w:rsidR="00DD7BAF" w:rsidRDefault="00DD7BAF" w:rsidP="00DD7BAF">
      <w:pPr>
        <w:pStyle w:val="ListParagraph"/>
        <w:numPr>
          <w:ilvl w:val="0"/>
          <w:numId w:val="1"/>
        </w:numPr>
      </w:pPr>
      <w:r w:rsidRPr="002221D0">
        <w:t>Prompt sheets for facilitators</w:t>
      </w:r>
      <w:r w:rsidR="00BA024A">
        <w:t xml:space="preserve"> (see: </w:t>
      </w:r>
      <w:r w:rsidR="00BA024A" w:rsidRPr="00BA024A">
        <w:rPr>
          <w:color w:val="70AD47" w:themeColor="accent6"/>
        </w:rPr>
        <w:t>CDoH Essentials Section 4 iii facilitator prompt sheet</w:t>
      </w:r>
      <w:r w:rsidR="00BA024A">
        <w:t>)</w:t>
      </w:r>
    </w:p>
    <w:p w14:paraId="2F1563C3" w14:textId="77D53A07" w:rsidR="00DD7BAF" w:rsidRDefault="00DD7BAF" w:rsidP="00DD7BAF">
      <w:pPr>
        <w:pStyle w:val="ListParagraph"/>
        <w:numPr>
          <w:ilvl w:val="0"/>
          <w:numId w:val="1"/>
        </w:numPr>
      </w:pPr>
      <w:r>
        <w:t xml:space="preserve">Handouts for each participant or for pairs / small groups </w:t>
      </w:r>
      <w:r w:rsidR="00BA024A">
        <w:t xml:space="preserve">(see: </w:t>
      </w:r>
      <w:bookmarkStart w:id="0" w:name="_Hlk161572531"/>
      <w:r w:rsidR="00BA024A" w:rsidRPr="00BA024A">
        <w:rPr>
          <w:color w:val="70AD47" w:themeColor="accent6"/>
        </w:rPr>
        <w:t>CDoH Essentials Section 4 iv evidence quest handout</w:t>
      </w:r>
      <w:bookmarkEnd w:id="0"/>
      <w:r w:rsidR="00BA024A">
        <w:t>)</w:t>
      </w:r>
    </w:p>
    <w:p w14:paraId="4146BBAE" w14:textId="10452CEE" w:rsidR="00DD7BAF" w:rsidRDefault="00DD7BAF" w:rsidP="00DD7BAF">
      <w:pPr>
        <w:pStyle w:val="ListParagraph"/>
        <w:numPr>
          <w:ilvl w:val="0"/>
          <w:numId w:val="1"/>
        </w:numPr>
      </w:pPr>
      <w:r>
        <w:t>Groups of evidence</w:t>
      </w:r>
      <w:r w:rsidR="00C15BC5">
        <w:t xml:space="preserve"> set up in ‘stations’ around the room </w:t>
      </w:r>
      <w:r>
        <w:t xml:space="preserve"> </w:t>
      </w:r>
    </w:p>
    <w:p w14:paraId="4D59A1E5" w14:textId="13174E22" w:rsidR="00BA024A" w:rsidRDefault="00BA024A" w:rsidP="00BA024A">
      <w:pPr>
        <w:pStyle w:val="ListParagraph"/>
        <w:numPr>
          <w:ilvl w:val="1"/>
          <w:numId w:val="1"/>
        </w:numPr>
        <w:ind w:left="1134"/>
      </w:pPr>
      <w:r>
        <w:t xml:space="preserve">There are posters you can use to print off for this (see notes on materials for evidence stations below) </w:t>
      </w:r>
    </w:p>
    <w:p w14:paraId="2EB520D1" w14:textId="4A201F32" w:rsidR="00DD7BAF" w:rsidRDefault="00D361E9" w:rsidP="00BA024A">
      <w:pPr>
        <w:pStyle w:val="ListParagraph"/>
        <w:numPr>
          <w:ilvl w:val="1"/>
          <w:numId w:val="1"/>
        </w:numPr>
        <w:ind w:left="1134"/>
      </w:pPr>
      <w:r>
        <w:t xml:space="preserve">Before the workshop, you will need to choose how many groups of evidence you want to use and </w:t>
      </w:r>
      <w:r w:rsidR="00B12BFE">
        <w:t xml:space="preserve">select </w:t>
      </w:r>
      <w:r>
        <w:t xml:space="preserve">which groups </w:t>
      </w:r>
      <w:r w:rsidR="00B12BFE">
        <w:t xml:space="preserve">of evidence </w:t>
      </w:r>
      <w:r>
        <w:t xml:space="preserve">to </w:t>
      </w:r>
      <w:r w:rsidR="00B12BFE">
        <w:t>present</w:t>
      </w:r>
      <w:r>
        <w:t xml:space="preserve"> </w:t>
      </w:r>
    </w:p>
    <w:p w14:paraId="3A451420" w14:textId="6677FD1D" w:rsidR="00DD7BAF" w:rsidRDefault="00DD7BAF" w:rsidP="00BA024A">
      <w:pPr>
        <w:pStyle w:val="ListParagraph"/>
        <w:numPr>
          <w:ilvl w:val="1"/>
          <w:numId w:val="1"/>
        </w:numPr>
        <w:ind w:left="1134"/>
      </w:pPr>
      <w:r>
        <w:t>You will need some p</w:t>
      </w:r>
      <w:r w:rsidR="00BE7CA9">
        <w:t>rinted materials set up around the room in clusters</w:t>
      </w:r>
      <w:r w:rsidR="00EA53F9">
        <w:t xml:space="preserve"> to form evidence ‘stations’</w:t>
      </w:r>
      <w:r w:rsidR="00BE7CA9">
        <w:t xml:space="preserve"> </w:t>
      </w:r>
    </w:p>
    <w:p w14:paraId="654CFDC5" w14:textId="397AE497" w:rsidR="00DD7BAF" w:rsidRDefault="00D361E9" w:rsidP="00BA024A">
      <w:pPr>
        <w:pStyle w:val="ListParagraph"/>
        <w:numPr>
          <w:ilvl w:val="1"/>
          <w:numId w:val="1"/>
        </w:numPr>
        <w:ind w:left="1134"/>
      </w:pPr>
      <w:r>
        <w:t xml:space="preserve">If you have the time and technology to allow it, you could also include some short film clips </w:t>
      </w:r>
    </w:p>
    <w:p w14:paraId="702F57AD" w14:textId="47E61E8D" w:rsidR="00D361E9" w:rsidRDefault="00D361E9" w:rsidP="00BA024A">
      <w:pPr>
        <w:pStyle w:val="ListParagraph"/>
        <w:numPr>
          <w:ilvl w:val="1"/>
          <w:numId w:val="1"/>
        </w:numPr>
        <w:spacing w:after="0"/>
        <w:ind w:left="1134"/>
      </w:pPr>
      <w:r>
        <w:t xml:space="preserve">If doing 4c as well as 4b ensure you include materials related to this </w:t>
      </w:r>
      <w:r w:rsidR="00DD7BAF">
        <w:t xml:space="preserve">(public health action and public support) </w:t>
      </w:r>
    </w:p>
    <w:p w14:paraId="3CB2A41A" w14:textId="348D9DD9" w:rsidR="00BA024A" w:rsidRDefault="00BA024A" w:rsidP="00BE7CA9"/>
    <w:p w14:paraId="29FCB515" w14:textId="77777777" w:rsidR="00BA024A" w:rsidRDefault="00BA024A" w:rsidP="00BA024A">
      <w:pPr>
        <w:pStyle w:val="Heading2"/>
        <w:rPr>
          <w:color w:val="538135" w:themeColor="accent6" w:themeShade="BF"/>
        </w:rPr>
      </w:pPr>
      <w:r w:rsidRPr="00BA024A">
        <w:rPr>
          <w:noProof/>
        </w:rPr>
        <w:drawing>
          <wp:anchor distT="0" distB="0" distL="114300" distR="114300" simplePos="0" relativeHeight="251661312" behindDoc="0" locked="0" layoutInCell="1" allowOverlap="1" wp14:anchorId="5EBBB8E6" wp14:editId="15C2F769">
            <wp:simplePos x="0" y="0"/>
            <wp:positionH relativeFrom="margin">
              <wp:posOffset>-57150</wp:posOffset>
            </wp:positionH>
            <wp:positionV relativeFrom="paragraph">
              <wp:posOffset>57150</wp:posOffset>
            </wp:positionV>
            <wp:extent cx="719455" cy="719455"/>
            <wp:effectExtent l="0" t="0" r="4445" b="0"/>
            <wp:wrapSquare wrapText="bothSides"/>
            <wp:docPr id="1" name="Graphic 1"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BA024A">
        <w:rPr>
          <w:noProof/>
        </w:rPr>
        <w:t>Key tips from the trials about this</w:t>
      </w:r>
      <w:r w:rsidRPr="00BA024A">
        <w:t xml:space="preserve"> exercise:</w:t>
      </w:r>
    </w:p>
    <w:p w14:paraId="5772675A" w14:textId="77777777" w:rsidR="00BA024A" w:rsidRDefault="00BA024A" w:rsidP="00BA024A">
      <w:pPr>
        <w:pStyle w:val="ListParagraph"/>
        <w:numPr>
          <w:ilvl w:val="0"/>
          <w:numId w:val="4"/>
        </w:numPr>
        <w:ind w:left="1560" w:hanging="284"/>
        <w:rPr>
          <w:color w:val="70AD47" w:themeColor="accent6"/>
        </w:rPr>
      </w:pPr>
      <w:r w:rsidRPr="00BA024A">
        <w:rPr>
          <w:color w:val="70AD47" w:themeColor="accent6"/>
        </w:rPr>
        <w:t>m</w:t>
      </w:r>
      <w:r w:rsidRPr="00BA024A">
        <w:rPr>
          <w:color w:val="70AD47" w:themeColor="accent6"/>
        </w:rPr>
        <w:t>ake sure you include evidence that covers a range of different industries and different commercial practices and public health actions</w:t>
      </w:r>
      <w:r w:rsidRPr="00BA024A">
        <w:rPr>
          <w:color w:val="70AD47" w:themeColor="accent6"/>
        </w:rPr>
        <w:t xml:space="preserve">. </w:t>
      </w:r>
    </w:p>
    <w:p w14:paraId="0EB8FFA8" w14:textId="77777777" w:rsidR="00BA024A" w:rsidRDefault="00BA024A" w:rsidP="00BA024A">
      <w:pPr>
        <w:pStyle w:val="ListParagraph"/>
        <w:numPr>
          <w:ilvl w:val="0"/>
          <w:numId w:val="4"/>
        </w:numPr>
        <w:ind w:left="1560" w:hanging="284"/>
        <w:rPr>
          <w:color w:val="70AD47" w:themeColor="accent6"/>
        </w:rPr>
      </w:pPr>
      <w:r>
        <w:rPr>
          <w:color w:val="70AD47" w:themeColor="accent6"/>
        </w:rPr>
        <w:t>w</w:t>
      </w:r>
      <w:r w:rsidR="00C15BC5" w:rsidRPr="00BA024A">
        <w:rPr>
          <w:color w:val="70AD47" w:themeColor="accent6"/>
        </w:rPr>
        <w:t xml:space="preserve">atching one film clip together and demonstrating the exercise with that as the first piece of ‘evidence’ worked well. </w:t>
      </w:r>
    </w:p>
    <w:p w14:paraId="6E71289D" w14:textId="77777777" w:rsidR="00BA024A" w:rsidRDefault="00C15BC5" w:rsidP="00BA024A">
      <w:pPr>
        <w:pStyle w:val="ListParagraph"/>
        <w:numPr>
          <w:ilvl w:val="0"/>
          <w:numId w:val="4"/>
        </w:numPr>
        <w:ind w:left="1560" w:hanging="284"/>
        <w:rPr>
          <w:color w:val="70AD47" w:themeColor="accent6"/>
        </w:rPr>
      </w:pPr>
      <w:r w:rsidRPr="00BA024A">
        <w:rPr>
          <w:color w:val="70AD47" w:themeColor="accent6"/>
        </w:rPr>
        <w:t xml:space="preserve">a suite of posters covering one issue (for example 2 posters that covered a single journal article or 5 posters each showing a chart of public opinion data) worked well as a ‘station’ for evidence.  </w:t>
      </w:r>
    </w:p>
    <w:p w14:paraId="0BFBE377" w14:textId="78450A83" w:rsidR="00C15BC5" w:rsidRPr="00BA024A" w:rsidRDefault="00C15BC5" w:rsidP="00BA024A">
      <w:pPr>
        <w:pStyle w:val="ListParagraph"/>
        <w:numPr>
          <w:ilvl w:val="0"/>
          <w:numId w:val="4"/>
        </w:numPr>
        <w:ind w:left="1560" w:hanging="284"/>
        <w:rPr>
          <w:color w:val="70AD47" w:themeColor="accent6"/>
        </w:rPr>
      </w:pPr>
      <w:r w:rsidRPr="00BA024A">
        <w:rPr>
          <w:color w:val="70AD47" w:themeColor="accent6"/>
        </w:rPr>
        <w:t xml:space="preserve">with stations set up as above, 5mins was generally </w:t>
      </w:r>
      <w:r w:rsidRPr="00BA024A">
        <w:rPr>
          <w:color w:val="70AD47" w:themeColor="accent6"/>
          <w:u w:val="single"/>
        </w:rPr>
        <w:t>not</w:t>
      </w:r>
      <w:r w:rsidRPr="00BA024A">
        <w:rPr>
          <w:color w:val="70AD47" w:themeColor="accent6"/>
        </w:rPr>
        <w:t xml:space="preserve"> enough</w:t>
      </w:r>
      <w:r w:rsidR="00BA024A">
        <w:rPr>
          <w:color w:val="70AD47" w:themeColor="accent6"/>
        </w:rPr>
        <w:t xml:space="preserve"> per station,</w:t>
      </w:r>
      <w:r w:rsidRPr="00BA024A">
        <w:rPr>
          <w:color w:val="70AD47" w:themeColor="accent6"/>
        </w:rPr>
        <w:t xml:space="preserve"> but no more than 10mins was needed per station.  </w:t>
      </w:r>
    </w:p>
    <w:p w14:paraId="5D319D37" w14:textId="77777777" w:rsidR="00CF55D7" w:rsidRDefault="00CF55D7" w:rsidP="00CF55D7"/>
    <w:p w14:paraId="49800BB5" w14:textId="6F77B667" w:rsidR="00CF55D7" w:rsidRDefault="00CF55D7" w:rsidP="00BA024A">
      <w:pPr>
        <w:pStyle w:val="Heading2"/>
        <w:rPr>
          <w:color w:val="538135" w:themeColor="accent6" w:themeShade="BF"/>
        </w:rPr>
      </w:pPr>
      <w:r>
        <w:rPr>
          <w:color w:val="538135" w:themeColor="accent6" w:themeShade="BF"/>
        </w:rPr>
        <w:t>Example timings:</w:t>
      </w:r>
    </w:p>
    <w:tbl>
      <w:tblPr>
        <w:tblStyle w:val="TableGrid"/>
        <w:tblW w:w="0" w:type="auto"/>
        <w:tblLook w:val="04A0" w:firstRow="1" w:lastRow="0" w:firstColumn="1" w:lastColumn="0" w:noHBand="0" w:noVBand="1"/>
      </w:tblPr>
      <w:tblGrid>
        <w:gridCol w:w="1129"/>
        <w:gridCol w:w="3445"/>
        <w:gridCol w:w="1233"/>
        <w:gridCol w:w="3260"/>
        <w:gridCol w:w="1389"/>
      </w:tblGrid>
      <w:tr w:rsidR="00BA024A" w:rsidRPr="00BA024A" w14:paraId="572D5117" w14:textId="71BF7779" w:rsidTr="00CF55D7">
        <w:tc>
          <w:tcPr>
            <w:tcW w:w="1129" w:type="dxa"/>
          </w:tcPr>
          <w:p w14:paraId="26D5407D" w14:textId="3978481F" w:rsidR="00CF55D7" w:rsidRPr="00BA024A" w:rsidRDefault="00CF55D7" w:rsidP="00CF55D7">
            <w:pPr>
              <w:rPr>
                <w:b/>
                <w:bCs/>
                <w:sz w:val="24"/>
                <w:szCs w:val="24"/>
              </w:rPr>
            </w:pPr>
            <w:r w:rsidRPr="00BA024A">
              <w:rPr>
                <w:b/>
                <w:bCs/>
                <w:sz w:val="24"/>
                <w:szCs w:val="24"/>
              </w:rPr>
              <w:t>Item</w:t>
            </w:r>
          </w:p>
        </w:tc>
        <w:tc>
          <w:tcPr>
            <w:tcW w:w="3445" w:type="dxa"/>
          </w:tcPr>
          <w:p w14:paraId="5E17CF1B" w14:textId="092AC073" w:rsidR="00CF55D7" w:rsidRPr="00BA024A" w:rsidRDefault="00CF55D7" w:rsidP="00CF55D7">
            <w:pPr>
              <w:rPr>
                <w:b/>
                <w:bCs/>
                <w:sz w:val="24"/>
                <w:szCs w:val="24"/>
              </w:rPr>
            </w:pPr>
            <w:r w:rsidRPr="00BA024A">
              <w:rPr>
                <w:b/>
                <w:bCs/>
                <w:sz w:val="24"/>
                <w:szCs w:val="24"/>
              </w:rPr>
              <w:t>Short version</w:t>
            </w:r>
          </w:p>
        </w:tc>
        <w:tc>
          <w:tcPr>
            <w:tcW w:w="1233" w:type="dxa"/>
          </w:tcPr>
          <w:p w14:paraId="304F10F0" w14:textId="650A8A7E" w:rsidR="00CF55D7" w:rsidRPr="00BA024A" w:rsidRDefault="00CF55D7" w:rsidP="00CF55D7">
            <w:pPr>
              <w:rPr>
                <w:b/>
                <w:bCs/>
                <w:sz w:val="24"/>
                <w:szCs w:val="24"/>
              </w:rPr>
            </w:pPr>
          </w:p>
        </w:tc>
        <w:tc>
          <w:tcPr>
            <w:tcW w:w="3260" w:type="dxa"/>
          </w:tcPr>
          <w:p w14:paraId="52711487" w14:textId="09E84FEE" w:rsidR="00CF55D7" w:rsidRPr="00BA024A" w:rsidRDefault="00CF55D7" w:rsidP="00CF55D7">
            <w:pPr>
              <w:rPr>
                <w:b/>
                <w:bCs/>
                <w:sz w:val="24"/>
                <w:szCs w:val="24"/>
              </w:rPr>
            </w:pPr>
            <w:r w:rsidRPr="00BA024A">
              <w:rPr>
                <w:b/>
                <w:bCs/>
                <w:sz w:val="24"/>
                <w:szCs w:val="24"/>
              </w:rPr>
              <w:t xml:space="preserve">Long version </w:t>
            </w:r>
          </w:p>
        </w:tc>
        <w:tc>
          <w:tcPr>
            <w:tcW w:w="1389" w:type="dxa"/>
          </w:tcPr>
          <w:p w14:paraId="59576028" w14:textId="77777777" w:rsidR="00CF55D7" w:rsidRPr="00BA024A" w:rsidRDefault="00CF55D7" w:rsidP="00CF55D7">
            <w:pPr>
              <w:rPr>
                <w:b/>
                <w:bCs/>
                <w:sz w:val="24"/>
                <w:szCs w:val="24"/>
              </w:rPr>
            </w:pPr>
          </w:p>
        </w:tc>
      </w:tr>
      <w:tr w:rsidR="00CF55D7" w14:paraId="17055A56" w14:textId="0810BA79" w:rsidTr="00CF55D7">
        <w:tc>
          <w:tcPr>
            <w:tcW w:w="1129" w:type="dxa"/>
          </w:tcPr>
          <w:p w14:paraId="008CB53A" w14:textId="01622624" w:rsidR="00CF55D7" w:rsidRDefault="00CF55D7" w:rsidP="00CF55D7">
            <w:r>
              <w:t xml:space="preserve">Explain the task </w:t>
            </w:r>
          </w:p>
        </w:tc>
        <w:tc>
          <w:tcPr>
            <w:tcW w:w="3445" w:type="dxa"/>
          </w:tcPr>
          <w:p w14:paraId="31112BB1" w14:textId="1F26BD7D" w:rsidR="00CF55D7" w:rsidRDefault="00CF55D7" w:rsidP="00CF55D7">
            <w:r>
              <w:t xml:space="preserve">Explain the task and demonstrate it using one short film clip (2-3minutes) and giving 1-2 examples </w:t>
            </w:r>
            <w:r w:rsidR="00BA024A">
              <w:t xml:space="preserve">of commercial practices or public health actions </w:t>
            </w:r>
            <w:r>
              <w:t xml:space="preserve">linked to the handout </w:t>
            </w:r>
          </w:p>
        </w:tc>
        <w:tc>
          <w:tcPr>
            <w:tcW w:w="1233" w:type="dxa"/>
          </w:tcPr>
          <w:p w14:paraId="767A094F" w14:textId="0AC586EB" w:rsidR="00CF55D7" w:rsidRDefault="00CF55D7" w:rsidP="00CF55D7">
            <w:r>
              <w:t>5 minutes</w:t>
            </w:r>
          </w:p>
        </w:tc>
        <w:tc>
          <w:tcPr>
            <w:tcW w:w="3260" w:type="dxa"/>
          </w:tcPr>
          <w:p w14:paraId="7AC5F2ED" w14:textId="432CF628" w:rsidR="00CF55D7" w:rsidRDefault="00CF55D7" w:rsidP="00CF55D7">
            <w:r>
              <w:t xml:space="preserve">Explain the task and demonstrate it using one short film clip (2-3minutes) and inviting 3-4 examples of commercial practices and/or public health actions spotted in the film clip – encourage people to use the handout </w:t>
            </w:r>
          </w:p>
        </w:tc>
        <w:tc>
          <w:tcPr>
            <w:tcW w:w="1389" w:type="dxa"/>
          </w:tcPr>
          <w:p w14:paraId="04CE6291" w14:textId="02A1D24E" w:rsidR="00CF55D7" w:rsidRDefault="00CF55D7" w:rsidP="00CF55D7">
            <w:r>
              <w:t>5-10 minutes</w:t>
            </w:r>
          </w:p>
        </w:tc>
      </w:tr>
      <w:tr w:rsidR="00CF55D7" w14:paraId="21C69B1B" w14:textId="7CA80766" w:rsidTr="00CF55D7">
        <w:tc>
          <w:tcPr>
            <w:tcW w:w="1129" w:type="dxa"/>
          </w:tcPr>
          <w:p w14:paraId="43674439" w14:textId="0275D7C1" w:rsidR="00CF55D7" w:rsidRDefault="00CF55D7" w:rsidP="00CF55D7">
            <w:r>
              <w:t xml:space="preserve">Review evidence stations </w:t>
            </w:r>
          </w:p>
        </w:tc>
        <w:tc>
          <w:tcPr>
            <w:tcW w:w="3445" w:type="dxa"/>
          </w:tcPr>
          <w:p w14:paraId="6BB11446" w14:textId="09869ADA" w:rsidR="00CF55D7" w:rsidRDefault="00741CBF" w:rsidP="00CF55D7">
            <w:r>
              <w:t>O</w:t>
            </w:r>
            <w:r w:rsidR="00CF55D7">
              <w:t>ne piece of evidence</w:t>
            </w:r>
            <w:r>
              <w:t xml:space="preserve"> per pair / group</w:t>
            </w:r>
            <w:r w:rsidR="00F24842">
              <w:t xml:space="preserve"> – give a different piece of </w:t>
            </w:r>
            <w:r>
              <w:t xml:space="preserve">evidence to each pair / small group </w:t>
            </w:r>
          </w:p>
        </w:tc>
        <w:tc>
          <w:tcPr>
            <w:tcW w:w="1233" w:type="dxa"/>
          </w:tcPr>
          <w:p w14:paraId="76B1B2A2" w14:textId="39ADC4F4" w:rsidR="00CF55D7" w:rsidRDefault="00CF55D7" w:rsidP="00CF55D7">
            <w:r>
              <w:t>10 minutes</w:t>
            </w:r>
          </w:p>
        </w:tc>
        <w:tc>
          <w:tcPr>
            <w:tcW w:w="3260" w:type="dxa"/>
          </w:tcPr>
          <w:p w14:paraId="0363ABE8" w14:textId="66D78E8E" w:rsidR="00CF55D7" w:rsidRDefault="00CF55D7" w:rsidP="00CF55D7">
            <w:r>
              <w:t xml:space="preserve">Each group is encouraged to get round 3+ evidence stations  </w:t>
            </w:r>
          </w:p>
        </w:tc>
        <w:tc>
          <w:tcPr>
            <w:tcW w:w="1389" w:type="dxa"/>
          </w:tcPr>
          <w:p w14:paraId="028118DA" w14:textId="2DA3231C" w:rsidR="00CF55D7" w:rsidRDefault="00CF55D7" w:rsidP="00CF55D7">
            <w:r>
              <w:t xml:space="preserve">30+ minutes </w:t>
            </w:r>
          </w:p>
          <w:p w14:paraId="5530D322" w14:textId="2974D7A2" w:rsidR="00CF55D7" w:rsidRDefault="00CF55D7" w:rsidP="00CF55D7">
            <w:r>
              <w:t xml:space="preserve">(10 minutes per station) </w:t>
            </w:r>
          </w:p>
        </w:tc>
      </w:tr>
      <w:tr w:rsidR="00CF55D7" w14:paraId="03CE3C7D" w14:textId="4D209B96" w:rsidTr="00CF55D7">
        <w:tc>
          <w:tcPr>
            <w:tcW w:w="1129" w:type="dxa"/>
          </w:tcPr>
          <w:p w14:paraId="5B391AA5" w14:textId="101AC138" w:rsidR="00CF55D7" w:rsidRDefault="00CF55D7" w:rsidP="00CF55D7">
            <w:r>
              <w:t xml:space="preserve">Feedback </w:t>
            </w:r>
          </w:p>
        </w:tc>
        <w:tc>
          <w:tcPr>
            <w:tcW w:w="3445" w:type="dxa"/>
          </w:tcPr>
          <w:p w14:paraId="38C022DA" w14:textId="76B6EBB1" w:rsidR="00CF55D7" w:rsidRDefault="00CF55D7" w:rsidP="00CF55D7">
            <w:r>
              <w:t xml:space="preserve">Invite 3-4 examples of commercial practices and/or public health actions spotted in the different evidence </w:t>
            </w:r>
            <w:r w:rsidR="00B40ADB">
              <w:t xml:space="preserve">– from the whole room </w:t>
            </w:r>
            <w:r w:rsidR="00B40ADB" w:rsidRPr="00B40ADB">
              <w:rPr>
                <w:u w:val="single"/>
              </w:rPr>
              <w:t>not</w:t>
            </w:r>
            <w:r w:rsidR="00B40ADB">
              <w:t xml:space="preserve"> per pair / small group. </w:t>
            </w:r>
          </w:p>
        </w:tc>
        <w:tc>
          <w:tcPr>
            <w:tcW w:w="1233" w:type="dxa"/>
          </w:tcPr>
          <w:p w14:paraId="2DFEAFD6" w14:textId="67C9D3F5" w:rsidR="00CF55D7" w:rsidRDefault="00CF55D7" w:rsidP="00CF55D7">
            <w:r>
              <w:t xml:space="preserve">5 minutes </w:t>
            </w:r>
          </w:p>
        </w:tc>
        <w:tc>
          <w:tcPr>
            <w:tcW w:w="3260" w:type="dxa"/>
          </w:tcPr>
          <w:p w14:paraId="3E05E926" w14:textId="1CC742A8" w:rsidR="00CF55D7" w:rsidRDefault="00EA53F9" w:rsidP="00CF55D7">
            <w:r>
              <w:t>Invite examples of commercial practices and/or public health actions spotted in the different evidence</w:t>
            </w:r>
            <w:r w:rsidR="00B40ADB">
              <w:t xml:space="preserve"> – if you have time you could go through the handout and invite examples of each type of practice / action. </w:t>
            </w:r>
          </w:p>
        </w:tc>
        <w:tc>
          <w:tcPr>
            <w:tcW w:w="1389" w:type="dxa"/>
          </w:tcPr>
          <w:p w14:paraId="76FDBA55" w14:textId="58344998" w:rsidR="00CF55D7" w:rsidRDefault="00EA53F9" w:rsidP="00CF55D7">
            <w:r>
              <w:t>5-10 minutes</w:t>
            </w:r>
          </w:p>
        </w:tc>
      </w:tr>
    </w:tbl>
    <w:p w14:paraId="5A5DC064" w14:textId="77777777" w:rsidR="00CF55D7" w:rsidRPr="00C15BC5" w:rsidRDefault="00CF55D7" w:rsidP="00CF55D7"/>
    <w:p w14:paraId="66E12399" w14:textId="509C73D3" w:rsidR="00EA53F9" w:rsidRDefault="00EA53F9" w:rsidP="00BA024A">
      <w:pPr>
        <w:pStyle w:val="Heading2"/>
        <w:rPr>
          <w:color w:val="538135" w:themeColor="accent6" w:themeShade="BF"/>
        </w:rPr>
      </w:pPr>
      <w:r>
        <w:rPr>
          <w:color w:val="538135" w:themeColor="accent6" w:themeShade="BF"/>
        </w:rPr>
        <w:t xml:space="preserve">Materials for evidence stations </w:t>
      </w:r>
    </w:p>
    <w:p w14:paraId="3F63BA7A" w14:textId="084D3BFB" w:rsidR="00EA53F9" w:rsidRDefault="00EA53F9" w:rsidP="00EA53F9">
      <w:pPr>
        <w:pStyle w:val="ListParagraph"/>
        <w:numPr>
          <w:ilvl w:val="0"/>
          <w:numId w:val="3"/>
        </w:numPr>
      </w:pPr>
      <w:r>
        <w:t>We have created some posters in a combined pdf – you can print off whichever you choose to use (minimum size is A4 and in colour, we suggest ideally A3)</w:t>
      </w:r>
    </w:p>
    <w:p w14:paraId="41278CBF" w14:textId="2ABA2EB4" w:rsidR="00B40ADB" w:rsidRPr="00B40ADB" w:rsidRDefault="00B40ADB" w:rsidP="00B40ADB">
      <w:pPr>
        <w:pStyle w:val="ListParagraph"/>
        <w:numPr>
          <w:ilvl w:val="1"/>
          <w:numId w:val="3"/>
        </w:numPr>
        <w:rPr>
          <w:color w:val="70AD47" w:themeColor="accent6"/>
        </w:rPr>
      </w:pPr>
      <w:r w:rsidRPr="00B40ADB">
        <w:rPr>
          <w:color w:val="70AD47" w:themeColor="accent6"/>
        </w:rPr>
        <w:t>CDoH Essentials Section 4 v posters to print research articles on commercial practices</w:t>
      </w:r>
    </w:p>
    <w:p w14:paraId="1697FF03" w14:textId="30DD9EF3" w:rsidR="00B40ADB" w:rsidRPr="00B40ADB" w:rsidRDefault="00B40ADB" w:rsidP="00B40ADB">
      <w:pPr>
        <w:pStyle w:val="ListParagraph"/>
        <w:numPr>
          <w:ilvl w:val="1"/>
          <w:numId w:val="3"/>
        </w:numPr>
        <w:rPr>
          <w:color w:val="70AD47" w:themeColor="accent6"/>
        </w:rPr>
      </w:pPr>
      <w:r w:rsidRPr="00B40ADB">
        <w:rPr>
          <w:color w:val="70AD47" w:themeColor="accent6"/>
        </w:rPr>
        <w:t>CDoH Essentials Section 4 v posters to print case studies of action</w:t>
      </w:r>
    </w:p>
    <w:p w14:paraId="07267DDC" w14:textId="0D34779E" w:rsidR="00B40ADB" w:rsidRPr="00B40ADB" w:rsidRDefault="00B40ADB" w:rsidP="00B40ADB">
      <w:pPr>
        <w:pStyle w:val="ListParagraph"/>
        <w:numPr>
          <w:ilvl w:val="1"/>
          <w:numId w:val="3"/>
        </w:numPr>
        <w:rPr>
          <w:color w:val="70AD47" w:themeColor="accent6"/>
        </w:rPr>
      </w:pPr>
      <w:r w:rsidRPr="00B40ADB">
        <w:rPr>
          <w:color w:val="70AD47" w:themeColor="accent6"/>
        </w:rPr>
        <w:t>CDoH Essentials Section 4 v posters to print public opinion</w:t>
      </w:r>
    </w:p>
    <w:p w14:paraId="32ABF197" w14:textId="1F6E231C" w:rsidR="00F24842" w:rsidRDefault="00EA53F9" w:rsidP="00F24842">
      <w:pPr>
        <w:pStyle w:val="ListParagraph"/>
        <w:numPr>
          <w:ilvl w:val="0"/>
          <w:numId w:val="3"/>
        </w:numPr>
      </w:pPr>
      <w:r>
        <w:t>You can also use the case studies from sections 3</w:t>
      </w:r>
      <w:r w:rsidR="00F24842">
        <w:t>b</w:t>
      </w:r>
      <w:r>
        <w:t xml:space="preserve"> and 5</w:t>
      </w:r>
      <w:r w:rsidR="00F24842">
        <w:t>c</w:t>
      </w:r>
      <w:r>
        <w:t xml:space="preserve"> (some are already included in </w:t>
      </w:r>
      <w:r w:rsidR="00B40ADB">
        <w:t xml:space="preserve">the pdf and have been turned into </w:t>
      </w:r>
      <w:r>
        <w:t>poster form)</w:t>
      </w:r>
      <w:r w:rsidR="00F24842">
        <w:t>, or the examples from the presentations in section 2, 3a or 5a.</w:t>
      </w:r>
    </w:p>
    <w:p w14:paraId="3A09FB35" w14:textId="77777777" w:rsidR="00F96552" w:rsidRDefault="00F24842" w:rsidP="00F96552">
      <w:pPr>
        <w:pStyle w:val="ListParagraph"/>
        <w:numPr>
          <w:ilvl w:val="0"/>
          <w:numId w:val="3"/>
        </w:numPr>
      </w:pPr>
      <w:r>
        <w:t xml:space="preserve">You could add </w:t>
      </w:r>
      <w:r w:rsidR="00EA53F9">
        <w:t xml:space="preserve">local examples </w:t>
      </w:r>
    </w:p>
    <w:p w14:paraId="437DEA90" w14:textId="5C9422DA" w:rsidR="00EA53F9" w:rsidRPr="00F96552" w:rsidRDefault="00F24842" w:rsidP="00F96552">
      <w:pPr>
        <w:pStyle w:val="ListParagraph"/>
        <w:numPr>
          <w:ilvl w:val="0"/>
          <w:numId w:val="3"/>
        </w:numPr>
      </w:pPr>
      <w:r>
        <w:t>We have also included some</w:t>
      </w:r>
      <w:r w:rsidR="00EA53F9">
        <w:t xml:space="preserve"> suggestions </w:t>
      </w:r>
      <w:r>
        <w:t xml:space="preserve">of film clips and other resources </w:t>
      </w:r>
      <w:r w:rsidR="009C43B8">
        <w:t xml:space="preserve">in </w:t>
      </w:r>
      <w:r w:rsidR="00EA53F9">
        <w:t xml:space="preserve">the </w:t>
      </w:r>
      <w:r>
        <w:t xml:space="preserve">additional suggestions for </w:t>
      </w:r>
      <w:r w:rsidR="00EA53F9">
        <w:t xml:space="preserve">materials </w:t>
      </w:r>
      <w:proofErr w:type="spellStart"/>
      <w:r>
        <w:t>slideset</w:t>
      </w:r>
      <w:proofErr w:type="spellEnd"/>
      <w:r w:rsidR="00B40ADB">
        <w:t xml:space="preserve">: </w:t>
      </w:r>
      <w:r w:rsidR="00B40ADB" w:rsidRPr="00F96552">
        <w:rPr>
          <w:color w:val="70AD47" w:themeColor="accent6"/>
        </w:rPr>
        <w:t>CDoH Essentials Section 4 vi additional suggestions for materials for evidence quest</w:t>
      </w:r>
    </w:p>
    <w:p w14:paraId="0106F903" w14:textId="4739B993" w:rsidR="00F24842" w:rsidRDefault="00F24842" w:rsidP="00EA53F9">
      <w:pPr>
        <w:pStyle w:val="ListParagraph"/>
        <w:numPr>
          <w:ilvl w:val="0"/>
          <w:numId w:val="3"/>
        </w:numPr>
      </w:pPr>
      <w:r>
        <w:t>Please ensure you appropriately acknowledge the creators of the work – we have checked the information in the posters we have included so please don’t alter them</w:t>
      </w:r>
    </w:p>
    <w:p w14:paraId="4FD39B24" w14:textId="02AC17BF" w:rsidR="00F24842" w:rsidRDefault="00F24842" w:rsidP="00F24842">
      <w:pPr>
        <w:pStyle w:val="ListParagraph"/>
        <w:numPr>
          <w:ilvl w:val="0"/>
          <w:numId w:val="3"/>
        </w:numPr>
      </w:pPr>
      <w:r>
        <w:t xml:space="preserve">If creating new </w:t>
      </w:r>
      <w:proofErr w:type="gramStart"/>
      <w:r>
        <w:t>posters</w:t>
      </w:r>
      <w:proofErr w:type="gramEnd"/>
      <w:r>
        <w:t xml:space="preserve"> please ensure your evidence is simply worded and doesn’t give too much information so that people don’t have time to read and digest it – use the examples we have created and tested as a template</w:t>
      </w:r>
    </w:p>
    <w:p w14:paraId="62DD7F1C" w14:textId="77777777" w:rsidR="00BA024A" w:rsidRDefault="00BA024A" w:rsidP="00BA024A">
      <w:pPr>
        <w:rPr>
          <w:color w:val="70AD47" w:themeColor="accent6"/>
        </w:rPr>
      </w:pPr>
    </w:p>
    <w:p w14:paraId="0E8E834B" w14:textId="148A90B3" w:rsidR="00B40ADB" w:rsidRDefault="00B40ADB" w:rsidP="00BE7CA9">
      <w:pPr>
        <w:rPr>
          <w:color w:val="70AD47" w:themeColor="accent6"/>
        </w:rPr>
      </w:pPr>
      <w:r w:rsidRPr="00BA024A">
        <w:rPr>
          <w:noProof/>
          <w:color w:val="70AD47" w:themeColor="accent6"/>
        </w:rPr>
        <w:drawing>
          <wp:anchor distT="0" distB="0" distL="114300" distR="114300" simplePos="0" relativeHeight="251663360" behindDoc="0" locked="0" layoutInCell="1" allowOverlap="1" wp14:anchorId="58B9AE0A" wp14:editId="22DDD096">
            <wp:simplePos x="0" y="0"/>
            <wp:positionH relativeFrom="margin">
              <wp:align>left</wp:align>
            </wp:positionH>
            <wp:positionV relativeFrom="paragraph">
              <wp:posOffset>9525</wp:posOffset>
            </wp:positionV>
            <wp:extent cx="719455" cy="719455"/>
            <wp:effectExtent l="0" t="0" r="4445" b="0"/>
            <wp:wrapSquare wrapText="bothSides"/>
            <wp:docPr id="4" name="Graphic 4"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ostit Note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color w:val="70AD47" w:themeColor="accent6"/>
        </w:rPr>
        <w:t xml:space="preserve">Key tips from the trials: </w:t>
      </w:r>
    </w:p>
    <w:p w14:paraId="0BB6AED8" w14:textId="22904A99" w:rsidR="00B40ADB" w:rsidRDefault="00B40ADB" w:rsidP="00B40ADB">
      <w:pPr>
        <w:pStyle w:val="ListParagraph"/>
        <w:numPr>
          <w:ilvl w:val="0"/>
          <w:numId w:val="5"/>
        </w:numPr>
        <w:ind w:left="1701"/>
        <w:rPr>
          <w:color w:val="70AD47" w:themeColor="accent6"/>
        </w:rPr>
      </w:pPr>
      <w:r w:rsidRPr="00B40ADB">
        <w:rPr>
          <w:color w:val="70AD47" w:themeColor="accent6"/>
        </w:rPr>
        <w:t xml:space="preserve">ensure you have the space and ability to put posters up in ‘stations’ round the room or switch to the ‘short’ version shown above. </w:t>
      </w:r>
    </w:p>
    <w:p w14:paraId="28EC323F" w14:textId="3C911D91" w:rsidR="00B40ADB" w:rsidRPr="00B40ADB" w:rsidRDefault="00B40ADB" w:rsidP="00B40ADB">
      <w:pPr>
        <w:pStyle w:val="ListParagraph"/>
        <w:numPr>
          <w:ilvl w:val="0"/>
          <w:numId w:val="5"/>
        </w:numPr>
        <w:ind w:left="1701"/>
        <w:rPr>
          <w:color w:val="70AD47" w:themeColor="accent6"/>
        </w:rPr>
      </w:pPr>
      <w:r>
        <w:rPr>
          <w:color w:val="70AD47" w:themeColor="accent6"/>
        </w:rPr>
        <w:t xml:space="preserve">ensure the posters are big enough to read – minimum A4, ideally A3. </w:t>
      </w:r>
    </w:p>
    <w:p w14:paraId="3120698C" w14:textId="1A60B970" w:rsidR="00EA53F9" w:rsidRPr="00BE7CA9" w:rsidRDefault="00B40ADB" w:rsidP="00BE7CA9">
      <w:r w:rsidRPr="00BA024A">
        <w:rPr>
          <w:color w:val="70AD47" w:themeColor="accent6"/>
        </w:rPr>
        <w:t xml:space="preserve"> </w:t>
      </w:r>
    </w:p>
    <w:sectPr w:rsidR="00EA53F9" w:rsidRPr="00BE7CA9" w:rsidSect="002221D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50C3" w14:textId="77777777" w:rsidR="0089103F" w:rsidRDefault="0089103F" w:rsidP="00BA024A">
      <w:pPr>
        <w:spacing w:after="0" w:line="240" w:lineRule="auto"/>
      </w:pPr>
      <w:r>
        <w:separator/>
      </w:r>
    </w:p>
  </w:endnote>
  <w:endnote w:type="continuationSeparator" w:id="0">
    <w:p w14:paraId="7E28B5F9" w14:textId="77777777" w:rsidR="0089103F" w:rsidRDefault="0089103F" w:rsidP="00BA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EB93" w14:textId="24137E37" w:rsidR="00BA024A" w:rsidRDefault="00BA024A">
    <w:pPr>
      <w:pStyle w:val="Footer"/>
    </w:pPr>
    <w:r>
      <w:rPr>
        <w:noProof/>
      </w:rPr>
      <mc:AlternateContent>
        <mc:Choice Requires="wps">
          <w:drawing>
            <wp:anchor distT="0" distB="0" distL="114300" distR="114300" simplePos="0" relativeHeight="251659264" behindDoc="0" locked="0" layoutInCell="1" allowOverlap="1" wp14:anchorId="0F581052" wp14:editId="6F28DC48">
              <wp:simplePos x="0" y="0"/>
              <wp:positionH relativeFrom="column">
                <wp:posOffset>-447675</wp:posOffset>
              </wp:positionH>
              <wp:positionV relativeFrom="paragraph">
                <wp:posOffset>0</wp:posOffset>
              </wp:positionV>
              <wp:extent cx="7534275" cy="6191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6E9F8F" w14:textId="77777777" w:rsidR="00BA024A" w:rsidRPr="008260BB" w:rsidRDefault="00BA024A" w:rsidP="00BA024A">
                          <w:pPr>
                            <w:jc w:val="right"/>
                            <w:rPr>
                              <w:color w:val="538135" w:themeColor="accent6" w:themeShade="BF"/>
                            </w:rPr>
                          </w:pPr>
                          <w:bookmarkStart w:id="1" w:name="_Hlk161151532"/>
                          <w:bookmarkStart w:id="2" w:name="_Hlk161151533"/>
                          <w:r w:rsidRPr="008260BB">
                            <w:rPr>
                              <w:color w:val="538135" w:themeColor="accent6" w:themeShade="BF"/>
                            </w:rPr>
                            <w:t>This document is part of CDoH Essentials (2024) Brook et al</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81052" id="Rectangle 9" o:spid="_x0000_s1026" style="position:absolute;margin-left:-35.25pt;margin-top:0;width:59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" fillcolor="#e2efd9 [665]" stroked="f" strokeweight="1pt">
              <v:textbox>
                <w:txbxContent>
                  <w:p w14:paraId="5D6E9F8F" w14:textId="77777777" w:rsidR="00BA024A" w:rsidRPr="008260BB" w:rsidRDefault="00BA024A" w:rsidP="00BA024A">
                    <w:pPr>
                      <w:jc w:val="right"/>
                      <w:rPr>
                        <w:color w:val="538135" w:themeColor="accent6" w:themeShade="BF"/>
                      </w:rPr>
                    </w:pPr>
                    <w:bookmarkStart w:id="3" w:name="_Hlk161151532"/>
                    <w:bookmarkStart w:id="4" w:name="_Hlk161151533"/>
                    <w:r w:rsidRPr="008260BB">
                      <w:rPr>
                        <w:color w:val="538135" w:themeColor="accent6" w:themeShade="BF"/>
                      </w:rPr>
                      <w:t>This document is part of CDoH Essentials (2024) Brook et al</w:t>
                    </w:r>
                    <w:bookmarkEnd w:id="3"/>
                    <w:bookmarkEnd w:id="4"/>
                  </w:p>
                </w:txbxContent>
              </v:textbox>
            </v:rect>
          </w:pict>
        </mc:Fallback>
      </mc:AlternateContent>
    </w:r>
    <w:r>
      <w:rPr>
        <w:noProof/>
      </w:rPr>
      <w:drawing>
        <wp:anchor distT="0" distB="0" distL="114300" distR="114300" simplePos="0" relativeHeight="251660288" behindDoc="0" locked="0" layoutInCell="1" allowOverlap="1" wp14:anchorId="2B22FF0E" wp14:editId="3B48B3DC">
          <wp:simplePos x="0" y="0"/>
          <wp:positionH relativeFrom="margin">
            <wp:posOffset>-323215</wp:posOffset>
          </wp:positionH>
          <wp:positionV relativeFrom="paragraph">
            <wp:posOffset>19050</wp:posOffset>
          </wp:positionV>
          <wp:extent cx="457200" cy="457200"/>
          <wp:effectExtent l="0" t="0" r="0" b="0"/>
          <wp:wrapNone/>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A30FA56" wp14:editId="2F71C96A">
          <wp:simplePos x="0" y="0"/>
          <wp:positionH relativeFrom="margin">
            <wp:posOffset>-132715</wp:posOffset>
          </wp:positionH>
          <wp:positionV relativeFrom="paragraph">
            <wp:posOffset>161290</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F603" w14:textId="77777777" w:rsidR="0089103F" w:rsidRDefault="0089103F" w:rsidP="00BA024A">
      <w:pPr>
        <w:spacing w:after="0" w:line="240" w:lineRule="auto"/>
      </w:pPr>
      <w:r>
        <w:separator/>
      </w:r>
    </w:p>
  </w:footnote>
  <w:footnote w:type="continuationSeparator" w:id="0">
    <w:p w14:paraId="4FC71A21" w14:textId="77777777" w:rsidR="0089103F" w:rsidRDefault="0089103F" w:rsidP="00BA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BA0"/>
    <w:multiLevelType w:val="hybridMultilevel"/>
    <w:tmpl w:val="6402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C3D52"/>
    <w:multiLevelType w:val="hybridMultilevel"/>
    <w:tmpl w:val="8774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90AC4"/>
    <w:multiLevelType w:val="hybridMultilevel"/>
    <w:tmpl w:val="48CAF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31E6"/>
    <w:multiLevelType w:val="hybridMultilevel"/>
    <w:tmpl w:val="2270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2695E"/>
    <w:multiLevelType w:val="hybridMultilevel"/>
    <w:tmpl w:val="17C89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855905">
    <w:abstractNumId w:val="4"/>
  </w:num>
  <w:num w:numId="2" w16cid:durableId="1136532030">
    <w:abstractNumId w:val="0"/>
  </w:num>
  <w:num w:numId="3" w16cid:durableId="1044915117">
    <w:abstractNumId w:val="2"/>
  </w:num>
  <w:num w:numId="4" w16cid:durableId="234171466">
    <w:abstractNumId w:val="3"/>
  </w:num>
  <w:num w:numId="5" w16cid:durableId="797916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9"/>
    <w:rsid w:val="005C22E9"/>
    <w:rsid w:val="00741CBF"/>
    <w:rsid w:val="0089103F"/>
    <w:rsid w:val="009C43B8"/>
    <w:rsid w:val="009F2E19"/>
    <w:rsid w:val="00B12BFE"/>
    <w:rsid w:val="00B40ADB"/>
    <w:rsid w:val="00BA024A"/>
    <w:rsid w:val="00BE7CA9"/>
    <w:rsid w:val="00C15BC5"/>
    <w:rsid w:val="00CC2DCE"/>
    <w:rsid w:val="00CF55D7"/>
    <w:rsid w:val="00D361E9"/>
    <w:rsid w:val="00DD7BAF"/>
    <w:rsid w:val="00EA53F9"/>
    <w:rsid w:val="00F17F83"/>
    <w:rsid w:val="00F24842"/>
    <w:rsid w:val="00F9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8BA3"/>
  <w15:chartTrackingRefBased/>
  <w15:docId w15:val="{5A99907D-781F-4BE0-BBF9-AD8E9442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A9"/>
  </w:style>
  <w:style w:type="paragraph" w:styleId="Heading1">
    <w:name w:val="heading 1"/>
    <w:basedOn w:val="Normal"/>
    <w:next w:val="Normal"/>
    <w:link w:val="Heading1Char"/>
    <w:uiPriority w:val="9"/>
    <w:qFormat/>
    <w:rsid w:val="00BE7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24A"/>
    <w:pPr>
      <w:keepNext/>
      <w:keepLines/>
      <w:spacing w:before="40" w:after="0"/>
      <w:outlineLvl w:val="1"/>
    </w:pPr>
    <w:rPr>
      <w:rFonts w:eastAsiaTheme="majorEastAsia" w:cstheme="minorHAnsi"/>
      <w:b/>
      <w:bCs/>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E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CA9"/>
    <w:pPr>
      <w:ind w:left="720"/>
      <w:contextualSpacing/>
    </w:pPr>
  </w:style>
  <w:style w:type="character" w:styleId="Hyperlink">
    <w:name w:val="Hyperlink"/>
    <w:basedOn w:val="DefaultParagraphFont"/>
    <w:uiPriority w:val="99"/>
    <w:unhideWhenUsed/>
    <w:rsid w:val="00BE7CA9"/>
    <w:rPr>
      <w:color w:val="0563C1" w:themeColor="hyperlink"/>
      <w:u w:val="single"/>
    </w:rPr>
  </w:style>
  <w:style w:type="character" w:styleId="FollowedHyperlink">
    <w:name w:val="FollowedHyperlink"/>
    <w:basedOn w:val="DefaultParagraphFont"/>
    <w:uiPriority w:val="99"/>
    <w:semiHidden/>
    <w:unhideWhenUsed/>
    <w:rsid w:val="00BE7CA9"/>
    <w:rPr>
      <w:color w:val="954F72" w:themeColor="followedHyperlink"/>
      <w:u w:val="single"/>
    </w:rPr>
  </w:style>
  <w:style w:type="paragraph" w:styleId="Header">
    <w:name w:val="header"/>
    <w:basedOn w:val="Normal"/>
    <w:link w:val="HeaderChar"/>
    <w:uiPriority w:val="99"/>
    <w:unhideWhenUsed/>
    <w:rsid w:val="00BA0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24A"/>
  </w:style>
  <w:style w:type="paragraph" w:styleId="Footer">
    <w:name w:val="footer"/>
    <w:basedOn w:val="Normal"/>
    <w:link w:val="FooterChar"/>
    <w:uiPriority w:val="99"/>
    <w:unhideWhenUsed/>
    <w:rsid w:val="00BA0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24A"/>
  </w:style>
  <w:style w:type="character" w:customStyle="1" w:styleId="Heading2Char">
    <w:name w:val="Heading 2 Char"/>
    <w:basedOn w:val="DefaultParagraphFont"/>
    <w:link w:val="Heading2"/>
    <w:uiPriority w:val="9"/>
    <w:rsid w:val="00BA024A"/>
    <w:rPr>
      <w:rFonts w:eastAsiaTheme="majorEastAsia" w:cstheme="minorHAnsi"/>
      <w:b/>
      <w:bCs/>
      <w:color w:val="538135" w:themeColor="accent6"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penpolicy.blog.gov.uk/2016/03/07/exploring-the-evid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6</cp:revision>
  <dcterms:created xsi:type="dcterms:W3CDTF">2024-02-19T16:23:00Z</dcterms:created>
  <dcterms:modified xsi:type="dcterms:W3CDTF">2024-03-17T12:58:00Z</dcterms:modified>
</cp:coreProperties>
</file>