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53443" w14:textId="3F877F06" w:rsidR="00787877" w:rsidRPr="00537882" w:rsidRDefault="00123A64" w:rsidP="00537882">
      <w:pPr>
        <w:pStyle w:val="Heading1"/>
      </w:pPr>
      <w:bookmarkStart w:id="0" w:name="_Hlk159160962"/>
      <w:r w:rsidRPr="00537882">
        <w:t>Exercise 2</w:t>
      </w:r>
      <w:r w:rsidR="00D35DBF" w:rsidRPr="00537882">
        <w:t xml:space="preserve"> overview </w:t>
      </w:r>
      <w:r w:rsidR="00601DAE" w:rsidRPr="00537882">
        <w:t xml:space="preserve">and instructions </w:t>
      </w:r>
    </w:p>
    <w:p w14:paraId="26CBAA45" w14:textId="78370A36" w:rsidR="002221D0" w:rsidRDefault="002221D0" w:rsidP="002221D0">
      <w:r>
        <w:t xml:space="preserve">Summary: </w:t>
      </w:r>
    </w:p>
    <w:tbl>
      <w:tblPr>
        <w:tblStyle w:val="TableGrid"/>
        <w:tblW w:w="0" w:type="auto"/>
        <w:tblLook w:val="04A0" w:firstRow="1" w:lastRow="0" w:firstColumn="1" w:lastColumn="0" w:noHBand="0" w:noVBand="1"/>
      </w:tblPr>
      <w:tblGrid>
        <w:gridCol w:w="2016"/>
        <w:gridCol w:w="517"/>
        <w:gridCol w:w="5451"/>
        <w:gridCol w:w="1218"/>
        <w:gridCol w:w="1254"/>
      </w:tblGrid>
      <w:tr w:rsidR="002221D0" w14:paraId="17A836AB" w14:textId="77777777" w:rsidTr="002221D0">
        <w:tc>
          <w:tcPr>
            <w:tcW w:w="2019" w:type="dxa"/>
          </w:tcPr>
          <w:p w14:paraId="0336DD0E" w14:textId="1E83B4EF" w:rsidR="002221D0" w:rsidRPr="00D30D6C" w:rsidRDefault="002221D0" w:rsidP="00537882">
            <w:pPr>
              <w:pStyle w:val="Heading3"/>
            </w:pPr>
            <w:r>
              <w:t>Content</w:t>
            </w:r>
            <w:r w:rsidR="00537882">
              <w:t xml:space="preserve"> covered</w:t>
            </w:r>
          </w:p>
        </w:tc>
        <w:tc>
          <w:tcPr>
            <w:tcW w:w="517" w:type="dxa"/>
          </w:tcPr>
          <w:p w14:paraId="6ACB0AFF" w14:textId="77777777" w:rsidR="002221D0" w:rsidRDefault="002221D0" w:rsidP="00537882">
            <w:pPr>
              <w:pStyle w:val="Heading3"/>
            </w:pPr>
            <w:r>
              <w:t>ref</w:t>
            </w:r>
          </w:p>
        </w:tc>
        <w:tc>
          <w:tcPr>
            <w:tcW w:w="5475" w:type="dxa"/>
          </w:tcPr>
          <w:p w14:paraId="0A71B93A" w14:textId="344DE06D" w:rsidR="002221D0" w:rsidRPr="00D30D6C" w:rsidRDefault="002221D0" w:rsidP="00537882">
            <w:pPr>
              <w:pStyle w:val="Heading3"/>
            </w:pPr>
            <w:r>
              <w:t xml:space="preserve">Delivery method </w:t>
            </w:r>
          </w:p>
        </w:tc>
        <w:tc>
          <w:tcPr>
            <w:tcW w:w="1191" w:type="dxa"/>
          </w:tcPr>
          <w:p w14:paraId="47DB8F5B" w14:textId="77777777" w:rsidR="002221D0" w:rsidRPr="00D30D6C" w:rsidRDefault="002221D0" w:rsidP="00537882">
            <w:pPr>
              <w:pStyle w:val="Heading3"/>
            </w:pPr>
            <w:r>
              <w:t xml:space="preserve">Estimated time </w:t>
            </w:r>
          </w:p>
        </w:tc>
        <w:tc>
          <w:tcPr>
            <w:tcW w:w="1254" w:type="dxa"/>
          </w:tcPr>
          <w:p w14:paraId="4D17731E" w14:textId="132CACB6" w:rsidR="002221D0" w:rsidRDefault="002221D0" w:rsidP="00537882">
            <w:pPr>
              <w:pStyle w:val="Heading3"/>
            </w:pPr>
            <w:r>
              <w:t>Linked learning objectives</w:t>
            </w:r>
          </w:p>
        </w:tc>
      </w:tr>
      <w:bookmarkEnd w:id="0"/>
      <w:tr w:rsidR="00123A64" w14:paraId="4FF3013E" w14:textId="77777777" w:rsidTr="002221D0">
        <w:tc>
          <w:tcPr>
            <w:tcW w:w="2019" w:type="dxa"/>
          </w:tcPr>
          <w:p w14:paraId="4B5BFBA5" w14:textId="77777777" w:rsidR="00123A64" w:rsidRDefault="00123A64" w:rsidP="00123A64">
            <w:r>
              <w:t>Overview of CDoH</w:t>
            </w:r>
          </w:p>
          <w:p w14:paraId="22D1B91E" w14:textId="77777777" w:rsidR="00123A64" w:rsidRDefault="00123A64" w:rsidP="00537882">
            <w:pPr>
              <w:pStyle w:val="ListParagraph"/>
              <w:numPr>
                <w:ilvl w:val="0"/>
                <w:numId w:val="2"/>
              </w:numPr>
              <w:ind w:left="447" w:hanging="283"/>
            </w:pPr>
            <w:r>
              <w:t>What are they</w:t>
            </w:r>
          </w:p>
          <w:p w14:paraId="62B77502" w14:textId="77777777" w:rsidR="00123A64" w:rsidRDefault="00123A64" w:rsidP="00537882">
            <w:pPr>
              <w:pStyle w:val="ListParagraph"/>
              <w:numPr>
                <w:ilvl w:val="0"/>
                <w:numId w:val="2"/>
              </w:numPr>
              <w:ind w:left="447" w:hanging="283"/>
            </w:pPr>
            <w:r>
              <w:t xml:space="preserve">How they affect health &amp; health inequalities </w:t>
            </w:r>
          </w:p>
          <w:p w14:paraId="3310C803" w14:textId="77777777" w:rsidR="00123A64" w:rsidRDefault="00123A64" w:rsidP="00537882">
            <w:pPr>
              <w:pStyle w:val="ListParagraph"/>
              <w:numPr>
                <w:ilvl w:val="0"/>
                <w:numId w:val="2"/>
              </w:numPr>
              <w:ind w:left="447" w:hanging="283"/>
            </w:pPr>
            <w:r>
              <w:t>H</w:t>
            </w:r>
            <w:r w:rsidRPr="00D30D6C">
              <w:t xml:space="preserve">ow </w:t>
            </w:r>
            <w:r>
              <w:t xml:space="preserve">they operate </w:t>
            </w:r>
          </w:p>
          <w:p w14:paraId="716334FD" w14:textId="4CB15D7A" w:rsidR="00123A64" w:rsidRPr="002221D0" w:rsidRDefault="00123A64" w:rsidP="00123A64"/>
        </w:tc>
        <w:tc>
          <w:tcPr>
            <w:tcW w:w="517" w:type="dxa"/>
          </w:tcPr>
          <w:p w14:paraId="05F4CC05" w14:textId="31112BFC" w:rsidR="00123A64" w:rsidRDefault="00123A64" w:rsidP="00123A64">
            <w:pPr>
              <w:rPr>
                <w:b/>
                <w:bCs/>
              </w:rPr>
            </w:pPr>
            <w:r>
              <w:t>2</w:t>
            </w:r>
          </w:p>
        </w:tc>
        <w:tc>
          <w:tcPr>
            <w:tcW w:w="5475" w:type="dxa"/>
          </w:tcPr>
          <w:p w14:paraId="5500713B" w14:textId="77777777" w:rsidR="00123A64" w:rsidRDefault="00123A64" w:rsidP="00123A64">
            <w:r>
              <w:t xml:space="preserve">Presentation to cover </w:t>
            </w:r>
          </w:p>
          <w:p w14:paraId="0D04B9DB" w14:textId="77777777" w:rsidR="00123A64" w:rsidRDefault="00123A64" w:rsidP="00537882">
            <w:pPr>
              <w:pStyle w:val="ListParagraph"/>
              <w:numPr>
                <w:ilvl w:val="0"/>
                <w:numId w:val="6"/>
              </w:numPr>
              <w:ind w:left="465" w:hanging="284"/>
            </w:pPr>
            <w:r>
              <w:t xml:space="preserve">Definition/s &amp; key terms </w:t>
            </w:r>
          </w:p>
          <w:p w14:paraId="095ABCBC" w14:textId="77777777" w:rsidR="00123A64" w:rsidRDefault="00123A64" w:rsidP="00537882">
            <w:pPr>
              <w:pStyle w:val="ListParagraph"/>
              <w:numPr>
                <w:ilvl w:val="0"/>
                <w:numId w:val="6"/>
              </w:numPr>
              <w:ind w:left="465" w:hanging="284"/>
            </w:pPr>
            <w:r>
              <w:t xml:space="preserve">Some key statistics on health &amp; health inequality impacts – to include local / local estimates, national and global data </w:t>
            </w:r>
          </w:p>
          <w:p w14:paraId="79073848" w14:textId="77777777" w:rsidR="00123A64" w:rsidRDefault="00123A64" w:rsidP="00537882">
            <w:pPr>
              <w:pStyle w:val="ListParagraph"/>
              <w:numPr>
                <w:ilvl w:val="0"/>
                <w:numId w:val="6"/>
              </w:numPr>
              <w:ind w:left="465" w:hanging="284"/>
            </w:pPr>
            <w:r>
              <w:t xml:space="preserve">Situating CDoH as part of social / wider determinants, addressing how individual and structural factors connect (and how choices are shaped) with a single example such as the food system (could be adapted to choose one that particularly resonates locally) </w:t>
            </w:r>
          </w:p>
          <w:p w14:paraId="4C32911A" w14:textId="77777777" w:rsidR="00123A64" w:rsidRDefault="00123A64" w:rsidP="00537882">
            <w:pPr>
              <w:pStyle w:val="ListParagraph"/>
              <w:numPr>
                <w:ilvl w:val="0"/>
                <w:numId w:val="6"/>
              </w:numPr>
              <w:ind w:left="465" w:hanging="284"/>
            </w:pPr>
            <w:r>
              <w:t>Use one example to demonstrate public support for measures to address (</w:t>
            </w:r>
            <w:proofErr w:type="spellStart"/>
            <w:proofErr w:type="gramStart"/>
            <w:r>
              <w:t>eg</w:t>
            </w:r>
            <w:proofErr w:type="spellEnd"/>
            <w:proofErr w:type="gramEnd"/>
            <w:r>
              <w:t xml:space="preserve"> regulation)</w:t>
            </w:r>
          </w:p>
          <w:p w14:paraId="1B4383E8" w14:textId="1DF146B7" w:rsidR="00123A64" w:rsidRPr="00123A64" w:rsidRDefault="00123A64" w:rsidP="00537882">
            <w:pPr>
              <w:pStyle w:val="ListParagraph"/>
              <w:numPr>
                <w:ilvl w:val="0"/>
                <w:numId w:val="6"/>
              </w:numPr>
              <w:ind w:left="465" w:hanging="284"/>
            </w:pPr>
            <w:r>
              <w:t>Mechanisms – show how CDoH operate covering in brief the range of m</w:t>
            </w:r>
            <w:r w:rsidRPr="00D30D6C">
              <w:t>ark</w:t>
            </w:r>
            <w:r>
              <w:t>et</w:t>
            </w:r>
            <w:r w:rsidRPr="00D30D6C">
              <w:t xml:space="preserve"> and non-market actions</w:t>
            </w:r>
            <w:r>
              <w:t xml:space="preserve"> using the Lancet framework and giving an illustrative example (from Tobacco) for each domain of the Lancet framework </w:t>
            </w:r>
          </w:p>
        </w:tc>
        <w:tc>
          <w:tcPr>
            <w:tcW w:w="1191" w:type="dxa"/>
          </w:tcPr>
          <w:p w14:paraId="08281594" w14:textId="3BF6CC46" w:rsidR="00123A64" w:rsidRDefault="00123A64" w:rsidP="00123A64">
            <w:pPr>
              <w:rPr>
                <w:b/>
                <w:bCs/>
              </w:rPr>
            </w:pPr>
            <w:r>
              <w:t>15-30 mins</w:t>
            </w:r>
          </w:p>
        </w:tc>
        <w:tc>
          <w:tcPr>
            <w:tcW w:w="1254" w:type="dxa"/>
          </w:tcPr>
          <w:p w14:paraId="04D08E62" w14:textId="048B8CA2" w:rsidR="00123A64" w:rsidRDefault="00123A64" w:rsidP="00123A64">
            <w:pPr>
              <w:rPr>
                <w:b/>
                <w:bCs/>
              </w:rPr>
            </w:pPr>
            <w:r>
              <w:t>L1, L2, L6</w:t>
            </w:r>
          </w:p>
        </w:tc>
      </w:tr>
    </w:tbl>
    <w:p w14:paraId="0C1B0079" w14:textId="728FC043" w:rsidR="002221D0" w:rsidRDefault="002221D0" w:rsidP="002221D0"/>
    <w:p w14:paraId="0FCFCAD8" w14:textId="040A848B" w:rsidR="002221D0" w:rsidRPr="00537882" w:rsidRDefault="002221D0" w:rsidP="00537882">
      <w:pPr>
        <w:pStyle w:val="Heading2"/>
      </w:pPr>
      <w:bookmarkStart w:id="1" w:name="_Hlk159161827"/>
      <w:r w:rsidRPr="00537882">
        <w:t>What do you need for this section?</w:t>
      </w:r>
    </w:p>
    <w:p w14:paraId="16D13BCE" w14:textId="70F71A14" w:rsidR="00D35DBF" w:rsidRDefault="00537882" w:rsidP="00123A64">
      <w:pPr>
        <w:pStyle w:val="ListParagraph"/>
        <w:numPr>
          <w:ilvl w:val="0"/>
          <w:numId w:val="4"/>
        </w:numPr>
      </w:pPr>
      <w:r>
        <w:t xml:space="preserve">Section 2 </w:t>
      </w:r>
      <w:r w:rsidR="00773D9B">
        <w:t xml:space="preserve">overview of CDoH </w:t>
      </w:r>
      <w:r>
        <w:t>s</w:t>
      </w:r>
      <w:r w:rsidR="00123A64">
        <w:t>lide set – there is a set of slides with integrated speaking notes and references</w:t>
      </w:r>
      <w:r w:rsidR="00601DAE">
        <w:t xml:space="preserve"> – you can choose to do a longer and more in-depth presentation or a shorter version. </w:t>
      </w:r>
    </w:p>
    <w:p w14:paraId="21E2335A" w14:textId="1242BEE6" w:rsidR="00123A64" w:rsidRDefault="00123A64" w:rsidP="00123A64">
      <w:pPr>
        <w:pStyle w:val="ListParagraph"/>
        <w:numPr>
          <w:ilvl w:val="0"/>
          <w:numId w:val="4"/>
        </w:numPr>
      </w:pPr>
      <w:r>
        <w:t xml:space="preserve">Speaking notes </w:t>
      </w:r>
      <w:r w:rsidR="00537882">
        <w:t xml:space="preserve">(within the slide set) </w:t>
      </w:r>
      <w:r>
        <w:t>– you need to work out which of the speaking notes and examples you will use</w:t>
      </w:r>
    </w:p>
    <w:bookmarkEnd w:id="1"/>
    <w:p w14:paraId="4B7A7299" w14:textId="77777777" w:rsidR="00123A64" w:rsidRDefault="00123A64" w:rsidP="00123A64">
      <w:pPr>
        <w:pStyle w:val="ListParagraph"/>
        <w:numPr>
          <w:ilvl w:val="0"/>
          <w:numId w:val="4"/>
        </w:numPr>
      </w:pPr>
      <w:r>
        <w:t xml:space="preserve">It is possible to cover the material in 15 minutes if </w:t>
      </w:r>
    </w:p>
    <w:p w14:paraId="02505ABE" w14:textId="3621D879" w:rsidR="00123A64" w:rsidRDefault="00123A64" w:rsidP="00123A64">
      <w:pPr>
        <w:pStyle w:val="ListParagraph"/>
        <w:numPr>
          <w:ilvl w:val="1"/>
          <w:numId w:val="4"/>
        </w:numPr>
      </w:pPr>
      <w:r>
        <w:t>you do it without any interaction or questions</w:t>
      </w:r>
    </w:p>
    <w:p w14:paraId="201C704C" w14:textId="2B37C54F" w:rsidR="00123A64" w:rsidRDefault="00123A64" w:rsidP="00123A64">
      <w:pPr>
        <w:pStyle w:val="ListParagraph"/>
        <w:numPr>
          <w:ilvl w:val="1"/>
          <w:numId w:val="4"/>
        </w:numPr>
      </w:pPr>
      <w:r>
        <w:t xml:space="preserve">you have chosen one illustrative example per mechanism / theory and developed your speaking notes accordingly </w:t>
      </w:r>
    </w:p>
    <w:p w14:paraId="1CD47AB5" w14:textId="153E46A6" w:rsidR="00353503" w:rsidRDefault="00123A64" w:rsidP="00353503">
      <w:pPr>
        <w:pStyle w:val="ListParagraph"/>
        <w:numPr>
          <w:ilvl w:val="1"/>
          <w:numId w:val="4"/>
        </w:numPr>
      </w:pPr>
      <w:r>
        <w:t>you practise!</w:t>
      </w:r>
    </w:p>
    <w:p w14:paraId="44B6354F" w14:textId="68B4B5CF" w:rsidR="00123A64" w:rsidRDefault="00123A64" w:rsidP="00123A64">
      <w:pPr>
        <w:pStyle w:val="ListParagraph"/>
        <w:numPr>
          <w:ilvl w:val="0"/>
          <w:numId w:val="4"/>
        </w:numPr>
      </w:pPr>
      <w:r>
        <w:t xml:space="preserve">It takes about 30 minutes if you pause to ask for suggested examples from the participants. </w:t>
      </w:r>
    </w:p>
    <w:p w14:paraId="6FDF68AD" w14:textId="64F11739" w:rsidR="00353503" w:rsidRDefault="00353503" w:rsidP="00123A64">
      <w:pPr>
        <w:pStyle w:val="ListParagraph"/>
        <w:numPr>
          <w:ilvl w:val="0"/>
          <w:numId w:val="4"/>
        </w:numPr>
      </w:pPr>
      <w:r>
        <w:t xml:space="preserve">The table at the end shows the suggested shorter and longer versions of this presentation. </w:t>
      </w:r>
    </w:p>
    <w:p w14:paraId="7A237239" w14:textId="13BEFC4F" w:rsidR="00601DAE" w:rsidRDefault="00CE38A1" w:rsidP="00601DAE">
      <w:r>
        <w:rPr>
          <w:noProof/>
        </w:rPr>
        <w:drawing>
          <wp:anchor distT="0" distB="0" distL="114300" distR="114300" simplePos="0" relativeHeight="251658240" behindDoc="0" locked="0" layoutInCell="1" allowOverlap="1" wp14:anchorId="5A2FA86D" wp14:editId="740B4D6D">
            <wp:simplePos x="0" y="0"/>
            <wp:positionH relativeFrom="margin">
              <wp:align>left</wp:align>
            </wp:positionH>
            <wp:positionV relativeFrom="paragraph">
              <wp:posOffset>106680</wp:posOffset>
            </wp:positionV>
            <wp:extent cx="720000" cy="720000"/>
            <wp:effectExtent l="0" t="0" r="4445" b="0"/>
            <wp:wrapSquare wrapText="bothSides"/>
            <wp:docPr id="1" name="Graphic 1" descr="Postit Note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Postit Notes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720000" cy="720000"/>
                    </a:xfrm>
                    <a:prstGeom prst="rect">
                      <a:avLst/>
                    </a:prstGeom>
                  </pic:spPr>
                </pic:pic>
              </a:graphicData>
            </a:graphic>
            <wp14:sizeRelH relativeFrom="page">
              <wp14:pctWidth>0</wp14:pctWidth>
            </wp14:sizeRelH>
            <wp14:sizeRelV relativeFrom="page">
              <wp14:pctHeight>0</wp14:pctHeight>
            </wp14:sizeRelV>
          </wp:anchor>
        </w:drawing>
      </w:r>
    </w:p>
    <w:p w14:paraId="462AA810" w14:textId="3278F64B" w:rsidR="00CE38A1" w:rsidRPr="006B6A2D" w:rsidRDefault="00CE38A1" w:rsidP="00CE38A1">
      <w:pPr>
        <w:rPr>
          <w:rStyle w:val="Emphasis"/>
          <w:i w:val="0"/>
          <w:iCs w:val="0"/>
          <w:color w:val="70AD47" w:themeColor="accent6"/>
        </w:rPr>
      </w:pPr>
      <w:bookmarkStart w:id="2" w:name="_Hlk161567982"/>
      <w:r w:rsidRPr="006B6A2D">
        <w:rPr>
          <w:rStyle w:val="Emphasis"/>
          <w:i w:val="0"/>
          <w:iCs w:val="0"/>
          <w:color w:val="70AD47" w:themeColor="accent6"/>
        </w:rPr>
        <w:t xml:space="preserve">A key tip from the trials was </w:t>
      </w:r>
      <w:bookmarkEnd w:id="2"/>
      <w:r w:rsidRPr="006B6A2D">
        <w:rPr>
          <w:rStyle w:val="Emphasis"/>
          <w:i w:val="0"/>
          <w:iCs w:val="0"/>
          <w:color w:val="70AD47" w:themeColor="accent6"/>
        </w:rPr>
        <w:t xml:space="preserve">the use of an up-front acknowledgement that the materials are largely focused on exposing the health harms from commercial determinants – this is included in speaker notes. </w:t>
      </w:r>
    </w:p>
    <w:p w14:paraId="38AF294C" w14:textId="77777777" w:rsidR="00CE38A1" w:rsidRDefault="00CE38A1" w:rsidP="00CE38A1"/>
    <w:p w14:paraId="2C439AE1" w14:textId="2092BED1" w:rsidR="00CE38A1" w:rsidRPr="00CE38A1" w:rsidRDefault="00CE38A1" w:rsidP="00537882">
      <w:pPr>
        <w:pStyle w:val="Heading3"/>
      </w:pPr>
      <w:r w:rsidRPr="00CE38A1">
        <w:t>Notes about the slide deck:</w:t>
      </w:r>
    </w:p>
    <w:p w14:paraId="651F2FEE" w14:textId="28D673F1" w:rsidR="00601DAE" w:rsidRDefault="00601DAE" w:rsidP="00601DAE">
      <w:pPr>
        <w:numPr>
          <w:ilvl w:val="0"/>
          <w:numId w:val="5"/>
        </w:numPr>
      </w:pPr>
      <w:r w:rsidRPr="00601DAE">
        <w:t>The slides and note sections are intended to be suitable for local areas to use – either exactly ‘as is’ or by adapting to add more local context</w:t>
      </w:r>
      <w:r>
        <w:t>. We suggest you:</w:t>
      </w:r>
    </w:p>
    <w:p w14:paraId="0D4A9758" w14:textId="5D98AFD4" w:rsidR="00601DAE" w:rsidRDefault="00601DAE" w:rsidP="00601DAE">
      <w:pPr>
        <w:numPr>
          <w:ilvl w:val="1"/>
          <w:numId w:val="5"/>
        </w:numPr>
      </w:pPr>
      <w:r>
        <w:t xml:space="preserve">Refer to local premature mortality statistics and any examples of inequalities in this </w:t>
      </w:r>
      <w:r w:rsidR="00353503">
        <w:t>(if not already covered in the local context introduction (section 1)</w:t>
      </w:r>
      <w:r w:rsidR="00AE503D">
        <w:t xml:space="preserve"> in slide 3 (</w:t>
      </w:r>
      <w:r w:rsidR="00773D9B">
        <w:t xml:space="preserve">and adapt </w:t>
      </w:r>
      <w:r w:rsidR="00AE503D">
        <w:t>4/5/6</w:t>
      </w:r>
      <w:r w:rsidR="00773D9B">
        <w:t xml:space="preserve"> if using</w:t>
      </w:r>
      <w:r w:rsidR="00AE503D">
        <w:t xml:space="preserve">) </w:t>
      </w:r>
    </w:p>
    <w:p w14:paraId="2708C597" w14:textId="77777777" w:rsidR="00537882" w:rsidRPr="00537882" w:rsidRDefault="00537882" w:rsidP="00537882">
      <w:pPr>
        <w:jc w:val="center"/>
      </w:pPr>
    </w:p>
    <w:p w14:paraId="0B139504" w14:textId="3FB60316" w:rsidR="00AE503D" w:rsidRDefault="00AE503D" w:rsidP="00601DAE">
      <w:pPr>
        <w:numPr>
          <w:ilvl w:val="1"/>
          <w:numId w:val="5"/>
        </w:numPr>
      </w:pPr>
      <w:r>
        <w:t xml:space="preserve">Refer to a local or national success story in slide 3 point 4 – much of this is preventable. For example, if your local smoking rates have fallen or you’ve reduced inequalities in alcohol-related mortality – briefly highlight this as an example of what we can do to prevent premature mortality and inequality.  </w:t>
      </w:r>
    </w:p>
    <w:p w14:paraId="62420A3A" w14:textId="7F28F5EB" w:rsidR="00353503" w:rsidRDefault="00353503" w:rsidP="00601DAE">
      <w:pPr>
        <w:numPr>
          <w:ilvl w:val="1"/>
          <w:numId w:val="5"/>
        </w:numPr>
      </w:pPr>
      <w:r w:rsidRPr="00353503">
        <w:t xml:space="preserve">Slide 11 has been identified </w:t>
      </w:r>
      <w:r>
        <w:t xml:space="preserve">in feedback </w:t>
      </w:r>
      <w:r w:rsidRPr="00353503">
        <w:t xml:space="preserve">as particularly useful in helping explain how structural CDoH shape our choices – you could replace the examples given </w:t>
      </w:r>
      <w:r w:rsidR="00773D9B">
        <w:t xml:space="preserve">(which </w:t>
      </w:r>
      <w:r w:rsidRPr="00353503">
        <w:t>focus on the food environment</w:t>
      </w:r>
      <w:r w:rsidR="00773D9B">
        <w:t>)</w:t>
      </w:r>
      <w:r w:rsidRPr="00353503">
        <w:t xml:space="preserve"> with similar issues related to another health-harming industry that is a particular priority for your local area. </w:t>
      </w:r>
    </w:p>
    <w:p w14:paraId="550BE901" w14:textId="4650EADD" w:rsidR="005402B6" w:rsidRDefault="005402B6" w:rsidP="005402B6">
      <w:pPr>
        <w:pStyle w:val="ListParagraph"/>
        <w:numPr>
          <w:ilvl w:val="0"/>
          <w:numId w:val="5"/>
        </w:numPr>
      </w:pPr>
      <w:r w:rsidRPr="005402B6">
        <w:t xml:space="preserve">Slide 12 has examples </w:t>
      </w:r>
      <w:r>
        <w:t>to illustrate each of the</w:t>
      </w:r>
      <w:r w:rsidRPr="005402B6">
        <w:t xml:space="preserve"> commercial practices</w:t>
      </w:r>
      <w:r>
        <w:t xml:space="preserve">. There are </w:t>
      </w:r>
      <w:r w:rsidRPr="005402B6">
        <w:t xml:space="preserve">some </w:t>
      </w:r>
      <w:r>
        <w:t xml:space="preserve">examples of </w:t>
      </w:r>
      <w:r w:rsidRPr="005402B6">
        <w:t xml:space="preserve">ways to address peppered throughout the speaking notes – </w:t>
      </w:r>
      <w:r w:rsidR="00773D9B">
        <w:t>highlighting</w:t>
      </w:r>
      <w:r>
        <w:t xml:space="preserve"> some of these </w:t>
      </w:r>
      <w:r w:rsidR="00773D9B">
        <w:t xml:space="preserve">potential solutions </w:t>
      </w:r>
      <w:r>
        <w:t xml:space="preserve">may help increase optimism that we can make meaningful change. </w:t>
      </w:r>
    </w:p>
    <w:p w14:paraId="787EBAAA" w14:textId="6A839584" w:rsidR="00601DAE" w:rsidRDefault="00601DAE" w:rsidP="00601DAE">
      <w:pPr>
        <w:numPr>
          <w:ilvl w:val="0"/>
          <w:numId w:val="5"/>
        </w:numPr>
      </w:pPr>
      <w:r w:rsidRPr="00601DAE">
        <w:t xml:space="preserve">There are options for </w:t>
      </w:r>
      <w:proofErr w:type="gramStart"/>
      <w:r w:rsidRPr="00601DAE">
        <w:t>more or less detailed</w:t>
      </w:r>
      <w:proofErr w:type="gramEnd"/>
      <w:r w:rsidRPr="00601DAE">
        <w:t xml:space="preserve"> versions of some sections – this is intended to give flexibility for local workshops, some of which will spend more time on this section than others:</w:t>
      </w:r>
    </w:p>
    <w:tbl>
      <w:tblPr>
        <w:tblStyle w:val="TableGrid"/>
        <w:tblW w:w="0" w:type="auto"/>
        <w:tblLook w:val="04A0" w:firstRow="1" w:lastRow="0" w:firstColumn="1" w:lastColumn="0" w:noHBand="0" w:noVBand="1"/>
      </w:tblPr>
      <w:tblGrid>
        <w:gridCol w:w="3397"/>
        <w:gridCol w:w="7059"/>
      </w:tblGrid>
      <w:tr w:rsidR="00601DAE" w:rsidRPr="00353503" w14:paraId="1C853FE6" w14:textId="77777777" w:rsidTr="00601DAE">
        <w:tc>
          <w:tcPr>
            <w:tcW w:w="3397" w:type="dxa"/>
          </w:tcPr>
          <w:p w14:paraId="3E637867" w14:textId="448E0B5C" w:rsidR="00601DAE" w:rsidRPr="00353503" w:rsidRDefault="00601DAE" w:rsidP="00537882">
            <w:pPr>
              <w:pStyle w:val="Heading3"/>
            </w:pPr>
            <w:r w:rsidRPr="00353503">
              <w:t>Short version</w:t>
            </w:r>
          </w:p>
        </w:tc>
        <w:tc>
          <w:tcPr>
            <w:tcW w:w="7059" w:type="dxa"/>
          </w:tcPr>
          <w:p w14:paraId="090EEC20" w14:textId="4993CE2E" w:rsidR="00601DAE" w:rsidRPr="00353503" w:rsidRDefault="00601DAE" w:rsidP="00537882">
            <w:pPr>
              <w:pStyle w:val="Heading3"/>
            </w:pPr>
            <w:r w:rsidRPr="00353503">
              <w:t xml:space="preserve">Detailed version </w:t>
            </w:r>
          </w:p>
        </w:tc>
      </w:tr>
      <w:tr w:rsidR="00246F66" w14:paraId="064A5AEF" w14:textId="77777777" w:rsidTr="00601DAE">
        <w:tc>
          <w:tcPr>
            <w:tcW w:w="3397" w:type="dxa"/>
          </w:tcPr>
          <w:p w14:paraId="52E3F24E" w14:textId="57CBFFF1" w:rsidR="00246F66" w:rsidRDefault="00246F66" w:rsidP="00601DAE">
            <w:r>
              <w:t xml:space="preserve">Use slides 1 and 2 </w:t>
            </w:r>
          </w:p>
        </w:tc>
        <w:tc>
          <w:tcPr>
            <w:tcW w:w="7059" w:type="dxa"/>
          </w:tcPr>
          <w:p w14:paraId="0DD382B7" w14:textId="77777777" w:rsidR="00246F66" w:rsidRDefault="00246F66" w:rsidP="00601DAE"/>
        </w:tc>
      </w:tr>
      <w:tr w:rsidR="00601DAE" w14:paraId="3C75C016" w14:textId="77777777" w:rsidTr="00601DAE">
        <w:tc>
          <w:tcPr>
            <w:tcW w:w="3397" w:type="dxa"/>
          </w:tcPr>
          <w:p w14:paraId="049EB399" w14:textId="0C6CDF03" w:rsidR="00601DAE" w:rsidRDefault="00601DAE" w:rsidP="00601DAE">
            <w:r>
              <w:t>Use s</w:t>
            </w:r>
            <w:r w:rsidRPr="00601DAE">
              <w:t xml:space="preserve">lide </w:t>
            </w:r>
            <w:r>
              <w:t xml:space="preserve">3 </w:t>
            </w:r>
            <w:r w:rsidRPr="00601DAE">
              <w:t>why is this important</w:t>
            </w:r>
            <w:r>
              <w:t xml:space="preserve"> summary</w:t>
            </w:r>
          </w:p>
          <w:p w14:paraId="3EF11DD7" w14:textId="36A25F08" w:rsidR="00601DAE" w:rsidRDefault="00601DAE" w:rsidP="00601DAE">
            <w:r>
              <w:t>Skip slides 4/5/6</w:t>
            </w:r>
          </w:p>
        </w:tc>
        <w:tc>
          <w:tcPr>
            <w:tcW w:w="7059" w:type="dxa"/>
          </w:tcPr>
          <w:p w14:paraId="2FFFEB4D" w14:textId="4E576530" w:rsidR="00601DAE" w:rsidRPr="00601DAE" w:rsidRDefault="00601DAE" w:rsidP="00601DAE">
            <w:pPr>
              <w:spacing w:after="160" w:line="259" w:lineRule="auto"/>
            </w:pPr>
            <w:r>
              <w:t>Add</w:t>
            </w:r>
            <w:r w:rsidRPr="00601DAE">
              <w:t xml:space="preserve"> slides </w:t>
            </w:r>
            <w:r>
              <w:t>4/5/6 which explore the points in</w:t>
            </w:r>
            <w:r w:rsidRPr="00601DAE">
              <w:t xml:space="preserve"> more detail </w:t>
            </w:r>
          </w:p>
          <w:p w14:paraId="43129F4A" w14:textId="293A2608" w:rsidR="00601DAE" w:rsidRDefault="00601DAE" w:rsidP="00601DAE">
            <w:r>
              <w:t xml:space="preserve">Add local statistics </w:t>
            </w:r>
          </w:p>
        </w:tc>
      </w:tr>
      <w:tr w:rsidR="00601DAE" w14:paraId="668CF7AB" w14:textId="77777777" w:rsidTr="00601DAE">
        <w:tc>
          <w:tcPr>
            <w:tcW w:w="3397" w:type="dxa"/>
          </w:tcPr>
          <w:p w14:paraId="7760AEFF" w14:textId="77777777" w:rsidR="00601DAE" w:rsidRDefault="00601DAE" w:rsidP="00601DAE">
            <w:r>
              <w:t xml:space="preserve">Use slide 7 key causes summary </w:t>
            </w:r>
          </w:p>
          <w:p w14:paraId="0C56DC8B" w14:textId="6223350F" w:rsidR="00246F66" w:rsidRDefault="00246F66" w:rsidP="00601DAE">
            <w:r>
              <w:t xml:space="preserve">Skip slides 8 and 9 </w:t>
            </w:r>
          </w:p>
        </w:tc>
        <w:tc>
          <w:tcPr>
            <w:tcW w:w="7059" w:type="dxa"/>
          </w:tcPr>
          <w:p w14:paraId="7B577E15" w14:textId="3F3B2FF9" w:rsidR="00601DAE" w:rsidRDefault="00246F66" w:rsidP="00601DAE">
            <w:r>
              <w:t xml:space="preserve">Add slides 8 and 9 with more detail on the </w:t>
            </w:r>
          </w:p>
        </w:tc>
      </w:tr>
      <w:tr w:rsidR="00601DAE" w14:paraId="431B28B0" w14:textId="77777777" w:rsidTr="00601DAE">
        <w:tc>
          <w:tcPr>
            <w:tcW w:w="3397" w:type="dxa"/>
          </w:tcPr>
          <w:p w14:paraId="490647B1" w14:textId="4D8428EF" w:rsidR="00601DAE" w:rsidRDefault="00353503" w:rsidP="00601DAE">
            <w:r>
              <w:t>Briefly summarise slide 10 but skip over if mainly PH audience with familiarity</w:t>
            </w:r>
          </w:p>
        </w:tc>
        <w:tc>
          <w:tcPr>
            <w:tcW w:w="7059" w:type="dxa"/>
          </w:tcPr>
          <w:p w14:paraId="10F932B6" w14:textId="77777777" w:rsidR="00601DAE" w:rsidRDefault="00601DAE" w:rsidP="00601DAE"/>
        </w:tc>
      </w:tr>
      <w:tr w:rsidR="00601DAE" w14:paraId="3010FB5C" w14:textId="77777777" w:rsidTr="00601DAE">
        <w:tc>
          <w:tcPr>
            <w:tcW w:w="3397" w:type="dxa"/>
          </w:tcPr>
          <w:p w14:paraId="03F4C71A" w14:textId="369CB4FA" w:rsidR="00601DAE" w:rsidRDefault="00353503" w:rsidP="00601DAE">
            <w:r>
              <w:t>Slide 11 – pick some of the illustrative examples from the speaking notes to cover the different aspects of how our choices are shaped</w:t>
            </w:r>
          </w:p>
        </w:tc>
        <w:tc>
          <w:tcPr>
            <w:tcW w:w="7059" w:type="dxa"/>
          </w:tcPr>
          <w:p w14:paraId="6EE680F8" w14:textId="77777777" w:rsidR="00601DAE" w:rsidRDefault="00353503" w:rsidP="00601DAE">
            <w:r>
              <w:t>Slide 11 – give an example for each aspect of the elements shown that shape our choices</w:t>
            </w:r>
          </w:p>
          <w:p w14:paraId="7D6C7D76" w14:textId="77777777" w:rsidR="00353503" w:rsidRDefault="00353503" w:rsidP="00601DAE">
            <w:r>
              <w:t xml:space="preserve">Option to ask the participants to call out additional examples </w:t>
            </w:r>
          </w:p>
          <w:p w14:paraId="6086D7C8" w14:textId="5A38AA2E" w:rsidR="00353503" w:rsidRDefault="00353503" w:rsidP="00601DAE"/>
        </w:tc>
      </w:tr>
      <w:tr w:rsidR="00601DAE" w14:paraId="15E00C98" w14:textId="77777777" w:rsidTr="00601DAE">
        <w:tc>
          <w:tcPr>
            <w:tcW w:w="3397" w:type="dxa"/>
          </w:tcPr>
          <w:p w14:paraId="1687BAE3" w14:textId="28AE9C06" w:rsidR="00601DAE" w:rsidRDefault="00353503" w:rsidP="00601DAE">
            <w:r>
              <w:t xml:space="preserve">Slide 12, use as is explaining the main mechanisms through which practices shape health, then giving illustrative examples from tobacco control for most practices (you may want to skip marketing for </w:t>
            </w:r>
            <w:proofErr w:type="spellStart"/>
            <w:proofErr w:type="gramStart"/>
            <w:r>
              <w:t>eg</w:t>
            </w:r>
            <w:proofErr w:type="spellEnd"/>
            <w:proofErr w:type="gramEnd"/>
            <w:r>
              <w:t xml:space="preserve"> if you feel covered sufficiently in slide 11)</w:t>
            </w:r>
          </w:p>
        </w:tc>
        <w:tc>
          <w:tcPr>
            <w:tcW w:w="7059" w:type="dxa"/>
          </w:tcPr>
          <w:p w14:paraId="70194E5C" w14:textId="7C153646" w:rsidR="00353503" w:rsidRDefault="00353503" w:rsidP="00601DAE">
            <w:r>
              <w:t xml:space="preserve">Slide 12 – in addition to explaining the main mechanisms through which practices shape health, then giving illustrative examples from tobacco control for all practices, ask the participants to call out other examples as you go through </w:t>
            </w:r>
          </w:p>
        </w:tc>
      </w:tr>
      <w:tr w:rsidR="00601DAE" w14:paraId="15B1B01E" w14:textId="77777777" w:rsidTr="00601DAE">
        <w:tc>
          <w:tcPr>
            <w:tcW w:w="3397" w:type="dxa"/>
          </w:tcPr>
          <w:p w14:paraId="4F4FEFB8" w14:textId="7A1A5BDA" w:rsidR="00601DAE" w:rsidRDefault="00353503" w:rsidP="00601DAE">
            <w:r>
              <w:t>Skip slides 13 and 14</w:t>
            </w:r>
          </w:p>
        </w:tc>
        <w:tc>
          <w:tcPr>
            <w:tcW w:w="7059" w:type="dxa"/>
          </w:tcPr>
          <w:p w14:paraId="48AC5124" w14:textId="0D214740" w:rsidR="00601DAE" w:rsidRDefault="00353503" w:rsidP="00601DAE">
            <w:r>
              <w:t xml:space="preserve">Deliver slides 13 and 14 </w:t>
            </w:r>
          </w:p>
        </w:tc>
      </w:tr>
    </w:tbl>
    <w:p w14:paraId="2BD3E269" w14:textId="2B63CCF4" w:rsidR="00601DAE" w:rsidRDefault="00601DAE" w:rsidP="00601DAE"/>
    <w:p w14:paraId="3365A9AB" w14:textId="678C8D88" w:rsidR="00AC526D" w:rsidRDefault="00AC526D" w:rsidP="00601DAE">
      <w:r>
        <w:rPr>
          <w:noProof/>
        </w:rPr>
        <w:drawing>
          <wp:anchor distT="0" distB="0" distL="114300" distR="114300" simplePos="0" relativeHeight="251660288" behindDoc="0" locked="0" layoutInCell="1" allowOverlap="1" wp14:anchorId="763855AB" wp14:editId="27189953">
            <wp:simplePos x="0" y="0"/>
            <wp:positionH relativeFrom="margin">
              <wp:align>left</wp:align>
            </wp:positionH>
            <wp:positionV relativeFrom="paragraph">
              <wp:posOffset>257175</wp:posOffset>
            </wp:positionV>
            <wp:extent cx="720000" cy="720000"/>
            <wp:effectExtent l="0" t="0" r="4445" b="0"/>
            <wp:wrapSquare wrapText="bothSides"/>
            <wp:docPr id="4" name="Graphic 4" descr="Postit Note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Postit Notes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720000" cy="720000"/>
                    </a:xfrm>
                    <a:prstGeom prst="rect">
                      <a:avLst/>
                    </a:prstGeom>
                  </pic:spPr>
                </pic:pic>
              </a:graphicData>
            </a:graphic>
            <wp14:sizeRelH relativeFrom="page">
              <wp14:pctWidth>0</wp14:pctWidth>
            </wp14:sizeRelH>
            <wp14:sizeRelV relativeFrom="page">
              <wp14:pctHeight>0</wp14:pctHeight>
            </wp14:sizeRelV>
          </wp:anchor>
        </w:drawing>
      </w:r>
    </w:p>
    <w:p w14:paraId="1D94FE36" w14:textId="77777777" w:rsidR="00AC526D" w:rsidRDefault="00AC526D" w:rsidP="00AC526D">
      <w:pPr>
        <w:spacing w:after="0"/>
        <w:rPr>
          <w:rStyle w:val="Emphasis"/>
          <w:i w:val="0"/>
          <w:iCs w:val="0"/>
          <w:color w:val="70AD47" w:themeColor="accent6"/>
        </w:rPr>
      </w:pPr>
      <w:bookmarkStart w:id="3" w:name="_Hlk161577460"/>
      <w:r>
        <w:rPr>
          <w:rStyle w:val="Emphasis"/>
          <w:i w:val="0"/>
          <w:iCs w:val="0"/>
          <w:color w:val="70AD47" w:themeColor="accent6"/>
        </w:rPr>
        <w:t>Key</w:t>
      </w:r>
      <w:r w:rsidRPr="006B6A2D">
        <w:rPr>
          <w:rStyle w:val="Emphasis"/>
          <w:i w:val="0"/>
          <w:iCs w:val="0"/>
          <w:color w:val="70AD47" w:themeColor="accent6"/>
        </w:rPr>
        <w:t xml:space="preserve"> tip</w:t>
      </w:r>
      <w:r>
        <w:rPr>
          <w:rStyle w:val="Emphasis"/>
          <w:i w:val="0"/>
          <w:iCs w:val="0"/>
          <w:color w:val="70AD47" w:themeColor="accent6"/>
        </w:rPr>
        <w:t>s</w:t>
      </w:r>
      <w:r w:rsidRPr="006B6A2D">
        <w:rPr>
          <w:rStyle w:val="Emphasis"/>
          <w:i w:val="0"/>
          <w:iCs w:val="0"/>
          <w:color w:val="70AD47" w:themeColor="accent6"/>
        </w:rPr>
        <w:t xml:space="preserve"> from the </w:t>
      </w:r>
      <w:proofErr w:type="spellStart"/>
      <w:r w:rsidRPr="006B6A2D">
        <w:rPr>
          <w:rStyle w:val="Emphasis"/>
          <w:i w:val="0"/>
          <w:iCs w:val="0"/>
          <w:color w:val="70AD47" w:themeColor="accent6"/>
        </w:rPr>
        <w:t>trials</w:t>
      </w:r>
      <w:r>
        <w:rPr>
          <w:rStyle w:val="Emphasis"/>
          <w:i w:val="0"/>
          <w:iCs w:val="0"/>
          <w:color w:val="70AD47" w:themeColor="accent6"/>
        </w:rPr>
        <w:t>:</w:t>
      </w:r>
      <w:proofErr w:type="spellEnd"/>
    </w:p>
    <w:p w14:paraId="0EFDA64E" w14:textId="34864EF0" w:rsidR="00AC526D" w:rsidRDefault="00AC526D" w:rsidP="00AC526D">
      <w:pPr>
        <w:pStyle w:val="ListParagraph"/>
        <w:numPr>
          <w:ilvl w:val="0"/>
          <w:numId w:val="8"/>
        </w:numPr>
        <w:ind w:left="1560"/>
        <w:rPr>
          <w:rStyle w:val="Emphasis"/>
          <w:i w:val="0"/>
          <w:iCs w:val="0"/>
          <w:color w:val="70AD47" w:themeColor="accent6"/>
        </w:rPr>
      </w:pPr>
      <w:r w:rsidRPr="00AC526D">
        <w:rPr>
          <w:rStyle w:val="Emphasis"/>
          <w:i w:val="0"/>
          <w:iCs w:val="0"/>
          <w:color w:val="70AD47" w:themeColor="accent6"/>
        </w:rPr>
        <w:t>make sure you practise so you can keep to time</w:t>
      </w:r>
    </w:p>
    <w:p w14:paraId="52F87C48" w14:textId="6F75005D" w:rsidR="00AC526D" w:rsidRDefault="00AC526D" w:rsidP="00AC526D">
      <w:pPr>
        <w:pStyle w:val="ListParagraph"/>
        <w:numPr>
          <w:ilvl w:val="0"/>
          <w:numId w:val="8"/>
        </w:numPr>
        <w:ind w:left="1560"/>
        <w:rPr>
          <w:rStyle w:val="Emphasis"/>
          <w:i w:val="0"/>
          <w:iCs w:val="0"/>
          <w:color w:val="70AD47" w:themeColor="accent6"/>
        </w:rPr>
      </w:pPr>
      <w:r>
        <w:rPr>
          <w:rStyle w:val="Emphasis"/>
          <w:i w:val="0"/>
          <w:iCs w:val="0"/>
          <w:color w:val="70AD47" w:themeColor="accent6"/>
        </w:rPr>
        <w:t>choose which examples to use and amend your speaking notes accordingly</w:t>
      </w:r>
    </w:p>
    <w:p w14:paraId="5472AFC3" w14:textId="7A5B2BB1" w:rsidR="00AC526D" w:rsidRPr="00AC526D" w:rsidRDefault="00AC526D" w:rsidP="00AC526D">
      <w:pPr>
        <w:pStyle w:val="ListParagraph"/>
        <w:numPr>
          <w:ilvl w:val="0"/>
          <w:numId w:val="8"/>
        </w:numPr>
        <w:ind w:left="1560"/>
        <w:rPr>
          <w:color w:val="70AD47" w:themeColor="accent6"/>
        </w:rPr>
      </w:pPr>
      <w:r>
        <w:rPr>
          <w:rStyle w:val="Emphasis"/>
          <w:i w:val="0"/>
          <w:iCs w:val="0"/>
          <w:color w:val="70AD47" w:themeColor="accent6"/>
        </w:rPr>
        <w:t xml:space="preserve">get confident by doing your own CPD </w:t>
      </w:r>
      <w:bookmarkEnd w:id="3"/>
    </w:p>
    <w:sectPr w:rsidR="00AC526D" w:rsidRPr="00AC526D" w:rsidSect="002221D0">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FE7B0" w14:textId="77777777" w:rsidR="00947B3B" w:rsidRDefault="00947B3B" w:rsidP="001F424B">
      <w:pPr>
        <w:spacing w:after="0" w:line="240" w:lineRule="auto"/>
      </w:pPr>
      <w:r>
        <w:separator/>
      </w:r>
    </w:p>
  </w:endnote>
  <w:endnote w:type="continuationSeparator" w:id="0">
    <w:p w14:paraId="3CFE1972" w14:textId="77777777" w:rsidR="00947B3B" w:rsidRDefault="00947B3B" w:rsidP="001F4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E8EFE" w14:textId="7E34E09D" w:rsidR="001F424B" w:rsidRDefault="00537882">
    <w:pPr>
      <w:pStyle w:val="Footer"/>
    </w:pPr>
    <w:r>
      <w:rPr>
        <w:noProof/>
      </w:rPr>
      <w:drawing>
        <wp:anchor distT="0" distB="0" distL="114300" distR="114300" simplePos="0" relativeHeight="251661312" behindDoc="0" locked="0" layoutInCell="1" allowOverlap="1" wp14:anchorId="4D99DB40" wp14:editId="227CF59A">
          <wp:simplePos x="0" y="0"/>
          <wp:positionH relativeFrom="margin">
            <wp:posOffset>-447675</wp:posOffset>
          </wp:positionH>
          <wp:positionV relativeFrom="paragraph">
            <wp:posOffset>-13335</wp:posOffset>
          </wp:positionV>
          <wp:extent cx="457200" cy="457200"/>
          <wp:effectExtent l="0" t="0" r="0" b="0"/>
          <wp:wrapNone/>
          <wp:docPr id="5" name="Graphic 5" descr="Single ge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Single gear with solid fill"/>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2EE6D622" wp14:editId="68B1B13D">
          <wp:simplePos x="0" y="0"/>
          <wp:positionH relativeFrom="margin">
            <wp:posOffset>-257810</wp:posOffset>
          </wp:positionH>
          <wp:positionV relativeFrom="paragraph">
            <wp:posOffset>128905</wp:posOffset>
          </wp:positionV>
          <wp:extent cx="466725" cy="466725"/>
          <wp:effectExtent l="0" t="0" r="0" b="9525"/>
          <wp:wrapNone/>
          <wp:docPr id="3" name="Graphic 3" descr="Gear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Gears with solid fill"/>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466725" cy="466725"/>
                  </a:xfrm>
                  <a:prstGeom prst="rect">
                    <a:avLst/>
                  </a:prstGeom>
                </pic:spPr>
              </pic:pic>
            </a:graphicData>
          </a:graphic>
          <wp14:sizeRelH relativeFrom="margin">
            <wp14:pctWidth>0</wp14:pctWidth>
          </wp14:sizeRelH>
          <wp14:sizeRelV relativeFrom="margin">
            <wp14:pctHeight>0</wp14:pctHeight>
          </wp14:sizeRelV>
        </wp:anchor>
      </w:drawing>
    </w:r>
    <w:r w:rsidR="001F424B">
      <w:rPr>
        <w:noProof/>
      </w:rPr>
      <mc:AlternateContent>
        <mc:Choice Requires="wps">
          <w:drawing>
            <wp:anchor distT="0" distB="0" distL="114300" distR="114300" simplePos="0" relativeHeight="251659264" behindDoc="0" locked="0" layoutInCell="1" allowOverlap="1" wp14:anchorId="110D5728" wp14:editId="46975F0B">
              <wp:simplePos x="0" y="0"/>
              <wp:positionH relativeFrom="page">
                <wp:posOffset>6985</wp:posOffset>
              </wp:positionH>
              <wp:positionV relativeFrom="paragraph">
                <wp:posOffset>-9525</wp:posOffset>
              </wp:positionV>
              <wp:extent cx="7534275" cy="619125"/>
              <wp:effectExtent l="0" t="0" r="9525" b="9525"/>
              <wp:wrapNone/>
              <wp:docPr id="2" name="Rectangle 2"/>
              <wp:cNvGraphicFramePr/>
              <a:graphic xmlns:a="http://schemas.openxmlformats.org/drawingml/2006/main">
                <a:graphicData uri="http://schemas.microsoft.com/office/word/2010/wordprocessingShape">
                  <wps:wsp>
                    <wps:cNvSpPr/>
                    <wps:spPr>
                      <a:xfrm>
                        <a:off x="0" y="0"/>
                        <a:ext cx="7534275" cy="619125"/>
                      </a:xfrm>
                      <a:prstGeom prst="rect">
                        <a:avLst/>
                      </a:prstGeom>
                      <a:solidFill>
                        <a:schemeClr val="accent6">
                          <a:lumMod val="20000"/>
                          <a:lumOff val="80000"/>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356BEF15" w14:textId="77777777" w:rsidR="001F424B" w:rsidRPr="00537882" w:rsidRDefault="001F424B" w:rsidP="001F424B">
                          <w:pPr>
                            <w:jc w:val="right"/>
                            <w:rPr>
                              <w:color w:val="538135" w:themeColor="accent6" w:themeShade="BF"/>
                            </w:rPr>
                          </w:pPr>
                          <w:bookmarkStart w:id="4" w:name="_Hlk161151532"/>
                          <w:bookmarkStart w:id="5" w:name="_Hlk161151533"/>
                          <w:r w:rsidRPr="00537882">
                            <w:rPr>
                              <w:color w:val="538135" w:themeColor="accent6" w:themeShade="BF"/>
                            </w:rPr>
                            <w:t>This document is part of CDoH Essentials (2024) Brook et al</w:t>
                          </w:r>
                          <w:bookmarkEnd w:id="4"/>
                          <w:bookmarkEnd w:id="5"/>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0D5728" id="Rectangle 2" o:spid="_x0000_s1026" style="position:absolute;margin-left:.55pt;margin-top:-.75pt;width:593.25pt;height:48.75pt;z-index:25165926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" fillcolor="#e2efd9 [665]" stroked="f" strokeweight="1pt">
              <v:textbox>
                <w:txbxContent>
                  <w:p w14:paraId="356BEF15" w14:textId="77777777" w:rsidR="001F424B" w:rsidRPr="00537882" w:rsidRDefault="001F424B" w:rsidP="001F424B">
                    <w:pPr>
                      <w:jc w:val="right"/>
                      <w:rPr>
                        <w:color w:val="538135" w:themeColor="accent6" w:themeShade="BF"/>
                      </w:rPr>
                    </w:pPr>
                    <w:bookmarkStart w:id="4" w:name="_Hlk161151532"/>
                    <w:bookmarkStart w:id="5" w:name="_Hlk161151533"/>
                    <w:r w:rsidRPr="00537882">
                      <w:rPr>
                        <w:color w:val="538135" w:themeColor="accent6" w:themeShade="BF"/>
                      </w:rPr>
                      <w:t>This document is part of CDoH Essentials (2024) Brook et al</w:t>
                    </w:r>
                    <w:bookmarkEnd w:id="4"/>
                    <w:bookmarkEnd w:id="5"/>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C8FAF" w14:textId="77777777" w:rsidR="00947B3B" w:rsidRDefault="00947B3B" w:rsidP="001F424B">
      <w:pPr>
        <w:spacing w:after="0" w:line="240" w:lineRule="auto"/>
      </w:pPr>
      <w:r>
        <w:separator/>
      </w:r>
    </w:p>
  </w:footnote>
  <w:footnote w:type="continuationSeparator" w:id="0">
    <w:p w14:paraId="6862BBE6" w14:textId="77777777" w:rsidR="00947B3B" w:rsidRDefault="00947B3B" w:rsidP="001F42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67ACE"/>
    <w:multiLevelType w:val="hybridMultilevel"/>
    <w:tmpl w:val="0ECA9F4A"/>
    <w:lvl w:ilvl="0" w:tplc="48BE3732">
      <w:start w:val="1"/>
      <w:numFmt w:val="bullet"/>
      <w:lvlText w:val="•"/>
      <w:lvlJc w:val="left"/>
      <w:pPr>
        <w:tabs>
          <w:tab w:val="num" w:pos="720"/>
        </w:tabs>
        <w:ind w:left="720" w:hanging="360"/>
      </w:pPr>
      <w:rPr>
        <w:rFonts w:ascii="Arial" w:hAnsi="Arial" w:hint="default"/>
      </w:rPr>
    </w:lvl>
    <w:lvl w:ilvl="1" w:tplc="D35E7872">
      <w:numFmt w:val="bullet"/>
      <w:lvlText w:val="•"/>
      <w:lvlJc w:val="left"/>
      <w:pPr>
        <w:tabs>
          <w:tab w:val="num" w:pos="1440"/>
        </w:tabs>
        <w:ind w:left="1440" w:hanging="360"/>
      </w:pPr>
      <w:rPr>
        <w:rFonts w:ascii="Arial" w:hAnsi="Arial" w:hint="default"/>
      </w:rPr>
    </w:lvl>
    <w:lvl w:ilvl="2" w:tplc="29E0E8C2" w:tentative="1">
      <w:start w:val="1"/>
      <w:numFmt w:val="bullet"/>
      <w:lvlText w:val="•"/>
      <w:lvlJc w:val="left"/>
      <w:pPr>
        <w:tabs>
          <w:tab w:val="num" w:pos="2160"/>
        </w:tabs>
        <w:ind w:left="2160" w:hanging="360"/>
      </w:pPr>
      <w:rPr>
        <w:rFonts w:ascii="Arial" w:hAnsi="Arial" w:hint="default"/>
      </w:rPr>
    </w:lvl>
    <w:lvl w:ilvl="3" w:tplc="1C0A171C" w:tentative="1">
      <w:start w:val="1"/>
      <w:numFmt w:val="bullet"/>
      <w:lvlText w:val="•"/>
      <w:lvlJc w:val="left"/>
      <w:pPr>
        <w:tabs>
          <w:tab w:val="num" w:pos="2880"/>
        </w:tabs>
        <w:ind w:left="2880" w:hanging="360"/>
      </w:pPr>
      <w:rPr>
        <w:rFonts w:ascii="Arial" w:hAnsi="Arial" w:hint="default"/>
      </w:rPr>
    </w:lvl>
    <w:lvl w:ilvl="4" w:tplc="D9ECE3D4" w:tentative="1">
      <w:start w:val="1"/>
      <w:numFmt w:val="bullet"/>
      <w:lvlText w:val="•"/>
      <w:lvlJc w:val="left"/>
      <w:pPr>
        <w:tabs>
          <w:tab w:val="num" w:pos="3600"/>
        </w:tabs>
        <w:ind w:left="3600" w:hanging="360"/>
      </w:pPr>
      <w:rPr>
        <w:rFonts w:ascii="Arial" w:hAnsi="Arial" w:hint="default"/>
      </w:rPr>
    </w:lvl>
    <w:lvl w:ilvl="5" w:tplc="D6A88192" w:tentative="1">
      <w:start w:val="1"/>
      <w:numFmt w:val="bullet"/>
      <w:lvlText w:val="•"/>
      <w:lvlJc w:val="left"/>
      <w:pPr>
        <w:tabs>
          <w:tab w:val="num" w:pos="4320"/>
        </w:tabs>
        <w:ind w:left="4320" w:hanging="360"/>
      </w:pPr>
      <w:rPr>
        <w:rFonts w:ascii="Arial" w:hAnsi="Arial" w:hint="default"/>
      </w:rPr>
    </w:lvl>
    <w:lvl w:ilvl="6" w:tplc="5C78DD5E" w:tentative="1">
      <w:start w:val="1"/>
      <w:numFmt w:val="bullet"/>
      <w:lvlText w:val="•"/>
      <w:lvlJc w:val="left"/>
      <w:pPr>
        <w:tabs>
          <w:tab w:val="num" w:pos="5040"/>
        </w:tabs>
        <w:ind w:left="5040" w:hanging="360"/>
      </w:pPr>
      <w:rPr>
        <w:rFonts w:ascii="Arial" w:hAnsi="Arial" w:hint="default"/>
      </w:rPr>
    </w:lvl>
    <w:lvl w:ilvl="7" w:tplc="E11EDEE0" w:tentative="1">
      <w:start w:val="1"/>
      <w:numFmt w:val="bullet"/>
      <w:lvlText w:val="•"/>
      <w:lvlJc w:val="left"/>
      <w:pPr>
        <w:tabs>
          <w:tab w:val="num" w:pos="5760"/>
        </w:tabs>
        <w:ind w:left="5760" w:hanging="360"/>
      </w:pPr>
      <w:rPr>
        <w:rFonts w:ascii="Arial" w:hAnsi="Arial" w:hint="default"/>
      </w:rPr>
    </w:lvl>
    <w:lvl w:ilvl="8" w:tplc="E256A77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129217B"/>
    <w:multiLevelType w:val="hybridMultilevel"/>
    <w:tmpl w:val="39725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EF0A51"/>
    <w:multiLevelType w:val="hybridMultilevel"/>
    <w:tmpl w:val="01EAB91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E5A0E43"/>
    <w:multiLevelType w:val="hybridMultilevel"/>
    <w:tmpl w:val="5A42EA60"/>
    <w:lvl w:ilvl="0" w:tplc="DDAE09BC">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5782695E"/>
    <w:multiLevelType w:val="hybridMultilevel"/>
    <w:tmpl w:val="17C89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645556"/>
    <w:multiLevelType w:val="hybridMultilevel"/>
    <w:tmpl w:val="23C20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965C63"/>
    <w:multiLevelType w:val="hybridMultilevel"/>
    <w:tmpl w:val="4E1CED64"/>
    <w:lvl w:ilvl="0" w:tplc="88FEE51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875515"/>
    <w:multiLevelType w:val="hybridMultilevel"/>
    <w:tmpl w:val="845E9E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5106822">
    <w:abstractNumId w:val="4"/>
  </w:num>
  <w:num w:numId="2" w16cid:durableId="1907959839">
    <w:abstractNumId w:val="2"/>
  </w:num>
  <w:num w:numId="3" w16cid:durableId="1568151527">
    <w:abstractNumId w:val="6"/>
  </w:num>
  <w:num w:numId="4" w16cid:durableId="397749247">
    <w:abstractNumId w:val="7"/>
  </w:num>
  <w:num w:numId="5" w16cid:durableId="419182874">
    <w:abstractNumId w:val="0"/>
  </w:num>
  <w:num w:numId="6" w16cid:durableId="1472477138">
    <w:abstractNumId w:val="3"/>
  </w:num>
  <w:num w:numId="7" w16cid:durableId="1771126283">
    <w:abstractNumId w:val="5"/>
  </w:num>
  <w:num w:numId="8" w16cid:durableId="17063671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877"/>
    <w:rsid w:val="00123A64"/>
    <w:rsid w:val="001F424B"/>
    <w:rsid w:val="002221D0"/>
    <w:rsid w:val="00246F66"/>
    <w:rsid w:val="00250065"/>
    <w:rsid w:val="002A54B7"/>
    <w:rsid w:val="00353503"/>
    <w:rsid w:val="00537882"/>
    <w:rsid w:val="005402B6"/>
    <w:rsid w:val="00601DAE"/>
    <w:rsid w:val="00643439"/>
    <w:rsid w:val="006B6A2D"/>
    <w:rsid w:val="00773D9B"/>
    <w:rsid w:val="00787877"/>
    <w:rsid w:val="008D2675"/>
    <w:rsid w:val="00947B3B"/>
    <w:rsid w:val="00A603C5"/>
    <w:rsid w:val="00A618D4"/>
    <w:rsid w:val="00AC526D"/>
    <w:rsid w:val="00AE503D"/>
    <w:rsid w:val="00B80C00"/>
    <w:rsid w:val="00BB0ECC"/>
    <w:rsid w:val="00CE38A1"/>
    <w:rsid w:val="00D35DBF"/>
    <w:rsid w:val="00D8166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78AD12"/>
  <w15:chartTrackingRefBased/>
  <w15:docId w15:val="{9AC27EDA-8CCC-4AA5-890F-2A6E84295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7882"/>
    <w:pPr>
      <w:keepNext/>
      <w:keepLines/>
      <w:spacing w:before="240" w:after="0"/>
      <w:outlineLvl w:val="0"/>
    </w:pPr>
    <w:rPr>
      <w:rFonts w:eastAsiaTheme="majorEastAsia" w:cstheme="minorHAnsi"/>
      <w:b/>
      <w:bCs/>
      <w:color w:val="538135" w:themeColor="accent6" w:themeShade="BF"/>
      <w:sz w:val="32"/>
      <w:szCs w:val="32"/>
    </w:rPr>
  </w:style>
  <w:style w:type="paragraph" w:styleId="Heading2">
    <w:name w:val="heading 2"/>
    <w:basedOn w:val="Normal"/>
    <w:next w:val="Normal"/>
    <w:link w:val="Heading2Char"/>
    <w:uiPriority w:val="9"/>
    <w:unhideWhenUsed/>
    <w:qFormat/>
    <w:rsid w:val="00537882"/>
    <w:pPr>
      <w:keepNext/>
      <w:keepLines/>
      <w:spacing w:before="40" w:after="0"/>
      <w:outlineLvl w:val="1"/>
    </w:pPr>
    <w:rPr>
      <w:rFonts w:eastAsiaTheme="majorEastAsia" w:cstheme="minorHAnsi"/>
      <w:b/>
      <w:bCs/>
      <w:color w:val="538135" w:themeColor="accent6" w:themeShade="BF"/>
      <w:sz w:val="26"/>
      <w:szCs w:val="26"/>
    </w:rPr>
  </w:style>
  <w:style w:type="paragraph" w:styleId="Heading3">
    <w:name w:val="heading 3"/>
    <w:basedOn w:val="Normal"/>
    <w:next w:val="Normal"/>
    <w:link w:val="Heading3Char"/>
    <w:uiPriority w:val="9"/>
    <w:unhideWhenUsed/>
    <w:qFormat/>
    <w:rsid w:val="00537882"/>
    <w:pPr>
      <w:keepNext/>
      <w:keepLines/>
      <w:spacing w:before="40" w:after="0"/>
      <w:outlineLvl w:val="2"/>
    </w:pPr>
    <w:rPr>
      <w:rFonts w:eastAsiaTheme="majorEastAsia" w:cstheme="minorHAnsi"/>
      <w:b/>
      <w:bCs/>
      <w:color w:val="538135" w:themeColor="accent6"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7882"/>
    <w:rPr>
      <w:rFonts w:eastAsiaTheme="majorEastAsia" w:cstheme="minorHAnsi"/>
      <w:b/>
      <w:bCs/>
      <w:color w:val="538135" w:themeColor="accent6" w:themeShade="BF"/>
      <w:sz w:val="32"/>
      <w:szCs w:val="32"/>
    </w:rPr>
  </w:style>
  <w:style w:type="table" w:styleId="TableGrid">
    <w:name w:val="Table Grid"/>
    <w:basedOn w:val="TableNormal"/>
    <w:uiPriority w:val="39"/>
    <w:rsid w:val="00222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21D0"/>
    <w:pPr>
      <w:ind w:left="720"/>
      <w:contextualSpacing/>
    </w:pPr>
  </w:style>
  <w:style w:type="paragraph" w:styleId="Header">
    <w:name w:val="header"/>
    <w:basedOn w:val="Normal"/>
    <w:link w:val="HeaderChar"/>
    <w:uiPriority w:val="99"/>
    <w:unhideWhenUsed/>
    <w:rsid w:val="001F42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424B"/>
  </w:style>
  <w:style w:type="paragraph" w:styleId="Footer">
    <w:name w:val="footer"/>
    <w:basedOn w:val="Normal"/>
    <w:link w:val="FooterChar"/>
    <w:uiPriority w:val="99"/>
    <w:unhideWhenUsed/>
    <w:rsid w:val="001F42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24B"/>
  </w:style>
  <w:style w:type="character" w:styleId="Emphasis">
    <w:name w:val="Emphasis"/>
    <w:basedOn w:val="DefaultParagraphFont"/>
    <w:uiPriority w:val="20"/>
    <w:qFormat/>
    <w:rsid w:val="006B6A2D"/>
    <w:rPr>
      <w:i/>
      <w:iCs/>
    </w:rPr>
  </w:style>
  <w:style w:type="character" w:customStyle="1" w:styleId="Heading2Char">
    <w:name w:val="Heading 2 Char"/>
    <w:basedOn w:val="DefaultParagraphFont"/>
    <w:link w:val="Heading2"/>
    <w:uiPriority w:val="9"/>
    <w:rsid w:val="00537882"/>
    <w:rPr>
      <w:rFonts w:eastAsiaTheme="majorEastAsia" w:cstheme="minorHAnsi"/>
      <w:b/>
      <w:bCs/>
      <w:color w:val="538135" w:themeColor="accent6" w:themeShade="BF"/>
      <w:sz w:val="26"/>
      <w:szCs w:val="26"/>
    </w:rPr>
  </w:style>
  <w:style w:type="character" w:customStyle="1" w:styleId="Heading3Char">
    <w:name w:val="Heading 3 Char"/>
    <w:basedOn w:val="DefaultParagraphFont"/>
    <w:link w:val="Heading3"/>
    <w:uiPriority w:val="9"/>
    <w:rsid w:val="00537882"/>
    <w:rPr>
      <w:rFonts w:eastAsiaTheme="majorEastAsia" w:cstheme="minorHAnsi"/>
      <w:b/>
      <w:bCs/>
      <w:color w:val="538135" w:themeColor="accent6"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055795">
      <w:bodyDiv w:val="1"/>
      <w:marLeft w:val="0"/>
      <w:marRight w:val="0"/>
      <w:marTop w:val="0"/>
      <w:marBottom w:val="0"/>
      <w:divBdr>
        <w:top w:val="none" w:sz="0" w:space="0" w:color="auto"/>
        <w:left w:val="none" w:sz="0" w:space="0" w:color="auto"/>
        <w:bottom w:val="none" w:sz="0" w:space="0" w:color="auto"/>
        <w:right w:val="none" w:sz="0" w:space="0" w:color="auto"/>
      </w:divBdr>
      <w:divsChild>
        <w:div w:id="1386414805">
          <w:marLeft w:val="360"/>
          <w:marRight w:val="0"/>
          <w:marTop w:val="200"/>
          <w:marBottom w:val="0"/>
          <w:divBdr>
            <w:top w:val="none" w:sz="0" w:space="0" w:color="auto"/>
            <w:left w:val="none" w:sz="0" w:space="0" w:color="auto"/>
            <w:bottom w:val="none" w:sz="0" w:space="0" w:color="auto"/>
            <w:right w:val="none" w:sz="0" w:space="0" w:color="auto"/>
          </w:divBdr>
        </w:div>
        <w:div w:id="33116200">
          <w:marLeft w:val="360"/>
          <w:marRight w:val="0"/>
          <w:marTop w:val="200"/>
          <w:marBottom w:val="0"/>
          <w:divBdr>
            <w:top w:val="none" w:sz="0" w:space="0" w:color="auto"/>
            <w:left w:val="none" w:sz="0" w:space="0" w:color="auto"/>
            <w:bottom w:val="none" w:sz="0" w:space="0" w:color="auto"/>
            <w:right w:val="none" w:sz="0" w:space="0" w:color="auto"/>
          </w:divBdr>
        </w:div>
        <w:div w:id="541986839">
          <w:marLeft w:val="1080"/>
          <w:marRight w:val="0"/>
          <w:marTop w:val="100"/>
          <w:marBottom w:val="0"/>
          <w:divBdr>
            <w:top w:val="none" w:sz="0" w:space="0" w:color="auto"/>
            <w:left w:val="none" w:sz="0" w:space="0" w:color="auto"/>
            <w:bottom w:val="none" w:sz="0" w:space="0" w:color="auto"/>
            <w:right w:val="none" w:sz="0" w:space="0" w:color="auto"/>
          </w:divBdr>
        </w:div>
        <w:div w:id="761531209">
          <w:marLeft w:val="1080"/>
          <w:marRight w:val="0"/>
          <w:marTop w:val="100"/>
          <w:marBottom w:val="0"/>
          <w:divBdr>
            <w:top w:val="none" w:sz="0" w:space="0" w:color="auto"/>
            <w:left w:val="none" w:sz="0" w:space="0" w:color="auto"/>
            <w:bottom w:val="none" w:sz="0" w:space="0" w:color="auto"/>
            <w:right w:val="none" w:sz="0" w:space="0" w:color="auto"/>
          </w:divBdr>
        </w:div>
        <w:div w:id="1631744668">
          <w:marLeft w:val="1080"/>
          <w:marRight w:val="0"/>
          <w:marTop w:val="100"/>
          <w:marBottom w:val="0"/>
          <w:divBdr>
            <w:top w:val="none" w:sz="0" w:space="0" w:color="auto"/>
            <w:left w:val="none" w:sz="0" w:space="0" w:color="auto"/>
            <w:bottom w:val="none" w:sz="0" w:space="0" w:color="auto"/>
            <w:right w:val="none" w:sz="0" w:space="0" w:color="auto"/>
          </w:divBdr>
        </w:div>
        <w:div w:id="812067444">
          <w:marLeft w:val="360"/>
          <w:marRight w:val="0"/>
          <w:marTop w:val="200"/>
          <w:marBottom w:val="0"/>
          <w:divBdr>
            <w:top w:val="none" w:sz="0" w:space="0" w:color="auto"/>
            <w:left w:val="none" w:sz="0" w:space="0" w:color="auto"/>
            <w:bottom w:val="none" w:sz="0" w:space="0" w:color="auto"/>
            <w:right w:val="none" w:sz="0" w:space="0" w:color="auto"/>
          </w:divBdr>
        </w:div>
        <w:div w:id="1706254437">
          <w:marLeft w:val="360"/>
          <w:marRight w:val="0"/>
          <w:marTop w:val="200"/>
          <w:marBottom w:val="0"/>
          <w:divBdr>
            <w:top w:val="none" w:sz="0" w:space="0" w:color="auto"/>
            <w:left w:val="none" w:sz="0" w:space="0" w:color="auto"/>
            <w:bottom w:val="none" w:sz="0" w:space="0" w:color="auto"/>
            <w:right w:val="none" w:sz="0" w:space="0" w:color="auto"/>
          </w:divBdr>
        </w:div>
        <w:div w:id="846941643">
          <w:marLeft w:val="360"/>
          <w:marRight w:val="0"/>
          <w:marTop w:val="200"/>
          <w:marBottom w:val="0"/>
          <w:divBdr>
            <w:top w:val="none" w:sz="0" w:space="0" w:color="auto"/>
            <w:left w:val="none" w:sz="0" w:space="0" w:color="auto"/>
            <w:bottom w:val="none" w:sz="0" w:space="0" w:color="auto"/>
            <w:right w:val="none" w:sz="0" w:space="0" w:color="auto"/>
          </w:divBdr>
        </w:div>
        <w:div w:id="201379825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svg"/><Relationship Id="rId1" Type="http://schemas.openxmlformats.org/officeDocument/2006/relationships/image" Target="media/image3.png"/><Relationship Id="rId4" Type="http://schemas.openxmlformats.org/officeDocument/2006/relationships/image" Target="media/image6.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Brook</dc:creator>
  <cp:keywords/>
  <dc:description/>
  <cp:lastModifiedBy>Anna Brook</cp:lastModifiedBy>
  <cp:revision>15</cp:revision>
  <dcterms:created xsi:type="dcterms:W3CDTF">2023-05-09T11:08:00Z</dcterms:created>
  <dcterms:modified xsi:type="dcterms:W3CDTF">2024-03-17T14:17:00Z</dcterms:modified>
</cp:coreProperties>
</file>