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CB95" w14:textId="77777777" w:rsidR="00A4224A" w:rsidRPr="00A4224A" w:rsidRDefault="00A4224A" w:rsidP="00D30D6C">
      <w:pPr>
        <w:pStyle w:val="Heading1"/>
        <w:rPr>
          <w:rFonts w:asciiTheme="minorHAnsi" w:hAnsiTheme="minorHAnsi" w:cstheme="minorHAnsi"/>
          <w:b/>
          <w:bCs/>
          <w:color w:val="538135" w:themeColor="accent6" w:themeShade="BF"/>
        </w:rPr>
      </w:pPr>
      <w:r w:rsidRPr="00A4224A">
        <w:rPr>
          <w:rFonts w:asciiTheme="minorHAnsi" w:hAnsiTheme="minorHAnsi" w:cstheme="minorHAnsi"/>
          <w:b/>
          <w:bCs/>
          <w:color w:val="538135" w:themeColor="accent6" w:themeShade="BF"/>
        </w:rPr>
        <w:t>CDoH Essentials:</w:t>
      </w:r>
    </w:p>
    <w:p w14:paraId="108EF798" w14:textId="583ECC2A" w:rsidR="00D30D6C" w:rsidRPr="00A4224A" w:rsidRDefault="00FE0C3B" w:rsidP="00A4224A">
      <w:pPr>
        <w:pStyle w:val="Subtitle"/>
        <w:rPr>
          <w:color w:val="538135" w:themeColor="accent6" w:themeShade="BF"/>
          <w:sz w:val="28"/>
          <w:szCs w:val="28"/>
        </w:rPr>
      </w:pPr>
      <w:r w:rsidRPr="00A4224A">
        <w:rPr>
          <w:color w:val="538135" w:themeColor="accent6" w:themeShade="BF"/>
          <w:sz w:val="28"/>
          <w:szCs w:val="28"/>
        </w:rPr>
        <w:t xml:space="preserve">Menu of options for you to develop your own workshops </w:t>
      </w:r>
      <w:r w:rsidR="00A4224A" w:rsidRPr="00A4224A">
        <w:rPr>
          <w:color w:val="538135" w:themeColor="accent6" w:themeShade="BF"/>
          <w:sz w:val="28"/>
          <w:szCs w:val="28"/>
        </w:rPr>
        <w:t xml:space="preserve">/ briefing </w:t>
      </w:r>
      <w:proofErr w:type="gramStart"/>
      <w:r w:rsidR="00A4224A" w:rsidRPr="00A4224A">
        <w:rPr>
          <w:color w:val="538135" w:themeColor="accent6" w:themeShade="BF"/>
          <w:sz w:val="28"/>
          <w:szCs w:val="28"/>
        </w:rPr>
        <w:t>sessions</w:t>
      </w:r>
      <w:proofErr w:type="gramEnd"/>
      <w:r w:rsidR="00A4224A" w:rsidRPr="00A4224A">
        <w:rPr>
          <w:color w:val="538135" w:themeColor="accent6" w:themeShade="BF"/>
          <w:sz w:val="28"/>
          <w:szCs w:val="28"/>
        </w:rPr>
        <w:t xml:space="preserve"> </w:t>
      </w:r>
    </w:p>
    <w:p w14:paraId="3E20D5E7" w14:textId="77777777" w:rsidR="00A4224A" w:rsidRDefault="00A4224A" w:rsidP="00D30D6C">
      <w:r>
        <w:t xml:space="preserve">This document </w:t>
      </w:r>
      <w:proofErr w:type="gramStart"/>
      <w:r>
        <w:t>includes</w:t>
      </w:r>
      <w:proofErr w:type="gramEnd"/>
      <w:r w:rsidR="00D865B0">
        <w:t xml:space="preserve"> </w:t>
      </w:r>
    </w:p>
    <w:p w14:paraId="61C306A4" w14:textId="77777777" w:rsidR="00A4224A" w:rsidRDefault="00A4224A" w:rsidP="00A4224A">
      <w:pPr>
        <w:pStyle w:val="ListParagraph"/>
        <w:numPr>
          <w:ilvl w:val="0"/>
          <w:numId w:val="8"/>
        </w:numPr>
      </w:pPr>
      <w:r>
        <w:t xml:space="preserve">Some tips from the action research about how to plan your </w:t>
      </w:r>
      <w:proofErr w:type="gramStart"/>
      <w:r>
        <w:t>agenda</w:t>
      </w:r>
      <w:proofErr w:type="gramEnd"/>
    </w:p>
    <w:p w14:paraId="3A3C0362" w14:textId="7E6C862A" w:rsidR="00D865B0" w:rsidRDefault="00A4224A" w:rsidP="00A4224A">
      <w:pPr>
        <w:pStyle w:val="ListParagraph"/>
        <w:numPr>
          <w:ilvl w:val="0"/>
          <w:numId w:val="8"/>
        </w:numPr>
      </w:pPr>
      <w:r>
        <w:t>A table with a</w:t>
      </w:r>
      <w:r w:rsidR="00D865B0">
        <w:t xml:space="preserve"> selection of content and delivery options </w:t>
      </w:r>
      <w:r>
        <w:t xml:space="preserve">– all the materials to run these sessions is included in the CDoH Essentials pack. </w:t>
      </w:r>
    </w:p>
    <w:p w14:paraId="59836315" w14:textId="01151E86" w:rsidR="00A4224A" w:rsidRDefault="00A4224A" w:rsidP="00A4224A">
      <w:pPr>
        <w:pStyle w:val="ListParagraph"/>
        <w:numPr>
          <w:ilvl w:val="0"/>
          <w:numId w:val="8"/>
        </w:numPr>
      </w:pPr>
      <w:r>
        <w:t xml:space="preserve">A table of ‘stretch’ ideas which were suggested in the design stage of the action research but have not been tested during the trials because they went beyond the ‘introductory’ nature of the sessions run. </w:t>
      </w:r>
    </w:p>
    <w:p w14:paraId="5C93B929" w14:textId="77777777" w:rsidR="00A4224A" w:rsidRDefault="00A4224A" w:rsidP="00A4224A"/>
    <w:p w14:paraId="12473919" w14:textId="4A942840" w:rsidR="00A4224A" w:rsidRDefault="00A4224A" w:rsidP="00A4224A">
      <w:pPr>
        <w:pStyle w:val="Heading2"/>
      </w:pPr>
      <w:r w:rsidRPr="00A4224A">
        <w:t xml:space="preserve">How to plan your agenda </w:t>
      </w:r>
    </w:p>
    <w:p w14:paraId="2A4964F4" w14:textId="77777777" w:rsidR="00A712CC" w:rsidRDefault="00A712CC" w:rsidP="00A712CC">
      <w:r>
        <w:t xml:space="preserve">Developing the draft agenda is an important step – we held at least three planning meetings for each trial area in the action research </w:t>
      </w:r>
      <w:proofErr w:type="gramStart"/>
      <w:r>
        <w:t>project</w:t>
      </w:r>
      <w:proofErr w:type="gramEnd"/>
    </w:p>
    <w:p w14:paraId="3BDD0760" w14:textId="26583372" w:rsidR="003E1340" w:rsidRDefault="00A4224A" w:rsidP="00A4224A">
      <w:r>
        <w:t xml:space="preserve">We recommend you follow the process in the </w:t>
      </w:r>
      <w:r w:rsidRPr="00A4224A">
        <w:rPr>
          <w:color w:val="70AD47" w:themeColor="accent6"/>
        </w:rPr>
        <w:t>introduction and overview document</w:t>
      </w:r>
      <w:r>
        <w:t xml:space="preserve">. This will mean that when you are planning your agenda, you will already have </w:t>
      </w:r>
      <w:r w:rsidR="003E1340">
        <w:t xml:space="preserve">a clear purpose and </w:t>
      </w:r>
      <w:r>
        <w:t xml:space="preserve">objectives (review the </w:t>
      </w:r>
      <w:r w:rsidRPr="003E1340">
        <w:rPr>
          <w:color w:val="70AD47" w:themeColor="accent6"/>
        </w:rPr>
        <w:t>learning objectives document</w:t>
      </w:r>
      <w:r>
        <w:t>)</w:t>
      </w:r>
      <w:r w:rsidR="003E1340">
        <w:t xml:space="preserve">, have </w:t>
      </w:r>
      <w:r>
        <w:t>decided on invitees and length of session and venue</w:t>
      </w:r>
      <w:r w:rsidR="003E1340">
        <w:t>.</w:t>
      </w:r>
    </w:p>
    <w:p w14:paraId="03F77B31" w14:textId="690CB073" w:rsidR="003E1340" w:rsidRDefault="003E1340" w:rsidP="00A4224A">
      <w:r>
        <w:t>Other documents that may help when planning the agenda are:</w:t>
      </w:r>
    </w:p>
    <w:p w14:paraId="2B6784FB" w14:textId="07E7B5AE" w:rsidR="00A4224A" w:rsidRDefault="00A4224A" w:rsidP="003E1340">
      <w:pPr>
        <w:pStyle w:val="ListParagraph"/>
        <w:numPr>
          <w:ilvl w:val="0"/>
          <w:numId w:val="10"/>
        </w:numPr>
      </w:pPr>
      <w:r w:rsidRPr="008260BB">
        <w:rPr>
          <w:rStyle w:val="Emphasis"/>
        </w:rPr>
        <w:t>example agendas</w:t>
      </w:r>
      <w:r w:rsidRPr="003E1340">
        <w:rPr>
          <w:color w:val="00B0F0"/>
        </w:rPr>
        <w:t xml:space="preserve"> </w:t>
      </w:r>
      <w:r>
        <w:t xml:space="preserve">from the trials </w:t>
      </w:r>
    </w:p>
    <w:p w14:paraId="0AADB6EC" w14:textId="1A36593E" w:rsidR="003E1340" w:rsidRDefault="003E1340" w:rsidP="003E1340">
      <w:pPr>
        <w:pStyle w:val="ListParagraph"/>
        <w:numPr>
          <w:ilvl w:val="0"/>
          <w:numId w:val="10"/>
        </w:numPr>
      </w:pPr>
      <w:r>
        <w:rPr>
          <w:rStyle w:val="Emphasis"/>
        </w:rPr>
        <w:t xml:space="preserve">general facilitator guide </w:t>
      </w:r>
    </w:p>
    <w:p w14:paraId="5301E2F2" w14:textId="328FCB81" w:rsidR="003E1340" w:rsidRDefault="003E1340" w:rsidP="00D30D6C">
      <w:r>
        <w:t>Decisions to make:</w:t>
      </w:r>
    </w:p>
    <w:p w14:paraId="0C862EAC" w14:textId="3BEA443E" w:rsidR="003E1340" w:rsidRDefault="003E1340" w:rsidP="003E1340">
      <w:pPr>
        <w:pStyle w:val="ListParagraph"/>
        <w:numPr>
          <w:ilvl w:val="0"/>
          <w:numId w:val="11"/>
        </w:numPr>
      </w:pPr>
      <w:r>
        <w:t>Do you want to run a one-off session or a series?</w:t>
      </w:r>
    </w:p>
    <w:p w14:paraId="7DC3E185" w14:textId="0CEB135B" w:rsidR="003E1340" w:rsidRDefault="003E1340" w:rsidP="003E1340">
      <w:pPr>
        <w:pStyle w:val="ListParagraph"/>
        <w:numPr>
          <w:ilvl w:val="0"/>
          <w:numId w:val="11"/>
        </w:numPr>
      </w:pPr>
      <w:r>
        <w:t xml:space="preserve">Which content and delivery options do you want to use to achieve your learning objectives? </w:t>
      </w:r>
    </w:p>
    <w:p w14:paraId="392F780A" w14:textId="3B18CDFE" w:rsidR="003E1340" w:rsidRDefault="003E1340" w:rsidP="003E1340">
      <w:pPr>
        <w:pStyle w:val="ListParagraph"/>
        <w:numPr>
          <w:ilvl w:val="0"/>
          <w:numId w:val="11"/>
        </w:numPr>
      </w:pPr>
      <w:r>
        <w:t>What style of delivery will work for the range of participants expected to attend?</w:t>
      </w:r>
    </w:p>
    <w:p w14:paraId="69BED5B1" w14:textId="00126517" w:rsidR="00A712CC" w:rsidRDefault="00A712CC" w:rsidP="00A712CC">
      <w:pPr>
        <w:pStyle w:val="ListParagraph"/>
        <w:numPr>
          <w:ilvl w:val="0"/>
          <w:numId w:val="11"/>
        </w:numPr>
      </w:pPr>
      <w:r>
        <w:t xml:space="preserve">We </w:t>
      </w:r>
      <w:r w:rsidRPr="00A45856">
        <w:t xml:space="preserve">suggest </w:t>
      </w:r>
      <w:r>
        <w:t>trying to split</w:t>
      </w:r>
      <w:r w:rsidRPr="00A45856">
        <w:t xml:space="preserve"> time </w:t>
      </w:r>
      <w:r>
        <w:t xml:space="preserve">and content as evenly as possible </w:t>
      </w:r>
      <w:r w:rsidRPr="00A45856">
        <w:t>between understanding issues and solutions</w:t>
      </w:r>
      <w:r>
        <w:t xml:space="preserve"> – which content and delivery will help with understanding issues and which with solutions?</w:t>
      </w:r>
    </w:p>
    <w:p w14:paraId="79B11F90" w14:textId="77777777" w:rsidR="00A4224A" w:rsidRDefault="00A4224A" w:rsidP="00D30D6C"/>
    <w:p w14:paraId="1B14C72F" w14:textId="170E1329" w:rsidR="00A4224A" w:rsidRPr="00A4224A" w:rsidRDefault="00A4224A" w:rsidP="00A4224A">
      <w:pPr>
        <w:rPr>
          <w:b/>
          <w:bCs/>
          <w:color w:val="70AD47" w:themeColor="accent6"/>
        </w:rPr>
      </w:pPr>
      <w:r w:rsidRPr="00A4224A">
        <w:rPr>
          <w:b/>
          <w:bCs/>
          <w:noProof/>
          <w:color w:val="70AD47" w:themeColor="accent6"/>
        </w:rPr>
        <w:drawing>
          <wp:anchor distT="0" distB="0" distL="114300" distR="114300" simplePos="0" relativeHeight="251659264" behindDoc="0" locked="0" layoutInCell="1" allowOverlap="1" wp14:anchorId="5C137EB9" wp14:editId="72F16807">
            <wp:simplePos x="0" y="0"/>
            <wp:positionH relativeFrom="margin">
              <wp:align>left</wp:align>
            </wp:positionH>
            <wp:positionV relativeFrom="paragraph">
              <wp:posOffset>9525</wp:posOffset>
            </wp:positionV>
            <wp:extent cx="720000" cy="720000"/>
            <wp:effectExtent l="0" t="0" r="4445" b="0"/>
            <wp:wrapSquare wrapText="bothSides"/>
            <wp:docPr id="1" name="Graphic 1"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A4224A">
        <w:rPr>
          <w:b/>
          <w:bCs/>
          <w:color w:val="70AD47" w:themeColor="accent6"/>
        </w:rPr>
        <w:t>Key</w:t>
      </w:r>
      <w:r w:rsidR="003E1340">
        <w:rPr>
          <w:b/>
          <w:bCs/>
          <w:color w:val="70AD47" w:themeColor="accent6"/>
        </w:rPr>
        <w:t xml:space="preserve"> practicalities</w:t>
      </w:r>
      <w:r w:rsidRPr="00A4224A">
        <w:rPr>
          <w:b/>
          <w:bCs/>
          <w:color w:val="70AD47" w:themeColor="accent6"/>
        </w:rPr>
        <w:t xml:space="preserve"> tips from the</w:t>
      </w:r>
      <w:r>
        <w:rPr>
          <w:b/>
          <w:bCs/>
          <w:color w:val="70AD47" w:themeColor="accent6"/>
        </w:rPr>
        <w:t xml:space="preserve"> action research</w:t>
      </w:r>
      <w:r w:rsidRPr="00A4224A">
        <w:rPr>
          <w:b/>
          <w:bCs/>
          <w:color w:val="70AD47" w:themeColor="accent6"/>
        </w:rPr>
        <w:t xml:space="preserve"> trials were: </w:t>
      </w:r>
    </w:p>
    <w:p w14:paraId="072A1C70" w14:textId="77777777" w:rsidR="00A4224A" w:rsidRPr="00C6793C" w:rsidRDefault="00A4224A" w:rsidP="00A4224A">
      <w:pPr>
        <w:pStyle w:val="ListParagraph"/>
        <w:numPr>
          <w:ilvl w:val="0"/>
          <w:numId w:val="7"/>
        </w:numPr>
        <w:ind w:left="1701" w:hanging="283"/>
        <w:rPr>
          <w:color w:val="70AD47" w:themeColor="accent6"/>
        </w:rPr>
      </w:pPr>
      <w:r>
        <w:rPr>
          <w:color w:val="70AD47" w:themeColor="accent6"/>
        </w:rPr>
        <w:t xml:space="preserve">Include </w:t>
      </w:r>
      <w:r w:rsidRPr="00C6793C">
        <w:rPr>
          <w:color w:val="70AD47" w:themeColor="accent6"/>
        </w:rPr>
        <w:t xml:space="preserve">10 mins </w:t>
      </w:r>
      <w:r>
        <w:rPr>
          <w:color w:val="70AD47" w:themeColor="accent6"/>
        </w:rPr>
        <w:t xml:space="preserve">buffer for </w:t>
      </w:r>
      <w:r w:rsidRPr="00C6793C">
        <w:rPr>
          <w:color w:val="70AD47" w:themeColor="accent6"/>
        </w:rPr>
        <w:t xml:space="preserve">discussion &amp; </w:t>
      </w:r>
      <w:proofErr w:type="gramStart"/>
      <w:r w:rsidRPr="00C6793C">
        <w:rPr>
          <w:color w:val="70AD47" w:themeColor="accent6"/>
        </w:rPr>
        <w:t>questions</w:t>
      </w:r>
      <w:proofErr w:type="gramEnd"/>
      <w:r w:rsidRPr="00C6793C">
        <w:rPr>
          <w:color w:val="70AD47" w:themeColor="accent6"/>
        </w:rPr>
        <w:t xml:space="preserve"> </w:t>
      </w:r>
    </w:p>
    <w:p w14:paraId="7591974D" w14:textId="77777777" w:rsidR="00A4224A" w:rsidRPr="00C6793C" w:rsidRDefault="00A4224A" w:rsidP="00A4224A">
      <w:pPr>
        <w:pStyle w:val="ListParagraph"/>
        <w:numPr>
          <w:ilvl w:val="0"/>
          <w:numId w:val="7"/>
        </w:numPr>
        <w:ind w:left="1701" w:hanging="283"/>
        <w:rPr>
          <w:color w:val="70AD47" w:themeColor="accent6"/>
        </w:rPr>
      </w:pPr>
      <w:r w:rsidRPr="00C6793C">
        <w:rPr>
          <w:color w:val="70AD47" w:themeColor="accent6"/>
        </w:rPr>
        <w:t>Adverti</w:t>
      </w:r>
      <w:r>
        <w:rPr>
          <w:color w:val="70AD47" w:themeColor="accent6"/>
        </w:rPr>
        <w:t>se</w:t>
      </w:r>
      <w:r w:rsidRPr="00C6793C">
        <w:rPr>
          <w:color w:val="70AD47" w:themeColor="accent6"/>
        </w:rPr>
        <w:t xml:space="preserve"> the time of arrival </w:t>
      </w:r>
      <w:r>
        <w:rPr>
          <w:color w:val="70AD47" w:themeColor="accent6"/>
        </w:rPr>
        <w:t>as 10-15mins before you are planning to begin</w:t>
      </w:r>
      <w:r w:rsidRPr="00C6793C">
        <w:rPr>
          <w:color w:val="70AD47" w:themeColor="accent6"/>
        </w:rPr>
        <w:t xml:space="preserve"> and offer networking time &amp; refreshments if possible so you can make a timely </w:t>
      </w:r>
      <w:proofErr w:type="gramStart"/>
      <w:r w:rsidRPr="00C6793C">
        <w:rPr>
          <w:color w:val="70AD47" w:themeColor="accent6"/>
        </w:rPr>
        <w:t>start</w:t>
      </w:r>
      <w:proofErr w:type="gramEnd"/>
    </w:p>
    <w:p w14:paraId="6D666207" w14:textId="77777777" w:rsidR="00A4224A" w:rsidRDefault="00A4224A" w:rsidP="00A4224A">
      <w:pPr>
        <w:pStyle w:val="ListParagraph"/>
        <w:numPr>
          <w:ilvl w:val="0"/>
          <w:numId w:val="7"/>
        </w:numPr>
        <w:ind w:left="1701" w:hanging="283"/>
        <w:rPr>
          <w:color w:val="70AD47" w:themeColor="accent6"/>
        </w:rPr>
      </w:pPr>
      <w:r w:rsidRPr="00C6793C">
        <w:rPr>
          <w:color w:val="70AD47" w:themeColor="accent6"/>
        </w:rPr>
        <w:t>Can you combine a break with an exercise to give some flexibility</w:t>
      </w:r>
      <w:r>
        <w:rPr>
          <w:color w:val="70AD47" w:themeColor="accent6"/>
        </w:rPr>
        <w:t>?</w:t>
      </w:r>
      <w:r w:rsidRPr="00C6793C">
        <w:rPr>
          <w:color w:val="70AD47" w:themeColor="accent6"/>
        </w:rPr>
        <w:t xml:space="preserve"> </w:t>
      </w:r>
    </w:p>
    <w:p w14:paraId="0BCB8688" w14:textId="77777777" w:rsidR="00A4224A" w:rsidRDefault="00A4224A" w:rsidP="00A4224A">
      <w:pPr>
        <w:pStyle w:val="ListParagraph"/>
        <w:numPr>
          <w:ilvl w:val="0"/>
          <w:numId w:val="7"/>
        </w:numPr>
        <w:ind w:left="1701" w:hanging="283"/>
        <w:rPr>
          <w:color w:val="70AD47" w:themeColor="accent6"/>
        </w:rPr>
      </w:pPr>
      <w:r>
        <w:rPr>
          <w:color w:val="70AD47" w:themeColor="accent6"/>
        </w:rPr>
        <w:t xml:space="preserve">Make sure the room is booked for another 15mins after the planned end to allow for discussions to continue. </w:t>
      </w:r>
    </w:p>
    <w:p w14:paraId="19F4B6BF" w14:textId="77777777" w:rsidR="00A4224A" w:rsidRPr="00C6793C" w:rsidRDefault="00A4224A" w:rsidP="00A4224A">
      <w:pPr>
        <w:pStyle w:val="ListParagraph"/>
        <w:numPr>
          <w:ilvl w:val="0"/>
          <w:numId w:val="7"/>
        </w:numPr>
        <w:ind w:left="1701" w:hanging="283"/>
        <w:rPr>
          <w:color w:val="70AD47" w:themeColor="accent6"/>
        </w:rPr>
      </w:pPr>
      <w:r>
        <w:rPr>
          <w:color w:val="70AD47" w:themeColor="accent6"/>
        </w:rPr>
        <w:t xml:space="preserve">Book a different room for your de-brief so that you can do that as a working group. </w:t>
      </w:r>
    </w:p>
    <w:p w14:paraId="33026358" w14:textId="7A791279" w:rsidR="00A4224A" w:rsidRDefault="003E1340" w:rsidP="00D30D6C">
      <w:r w:rsidRPr="003E1340">
        <w:rPr>
          <w:b/>
          <w:bCs/>
          <w:noProof/>
          <w:color w:val="70AD47" w:themeColor="accent6"/>
        </w:rPr>
        <w:drawing>
          <wp:anchor distT="0" distB="0" distL="114300" distR="114300" simplePos="0" relativeHeight="251661312" behindDoc="0" locked="0" layoutInCell="1" allowOverlap="1" wp14:anchorId="4CB745A7" wp14:editId="67DD6F88">
            <wp:simplePos x="0" y="0"/>
            <wp:positionH relativeFrom="margin">
              <wp:posOffset>66675</wp:posOffset>
            </wp:positionH>
            <wp:positionV relativeFrom="paragraph">
              <wp:posOffset>161290</wp:posOffset>
            </wp:positionV>
            <wp:extent cx="720000" cy="720000"/>
            <wp:effectExtent l="0" t="0" r="4445" b="0"/>
            <wp:wrapSquare wrapText="bothSides"/>
            <wp:docPr id="6" name="Graphic 6"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3DE060B7" w14:textId="28C3CC15" w:rsidR="003E1340" w:rsidRPr="003E1340" w:rsidRDefault="003E1340" w:rsidP="00D30D6C">
      <w:pPr>
        <w:rPr>
          <w:b/>
          <w:bCs/>
          <w:color w:val="70AD47" w:themeColor="accent6"/>
        </w:rPr>
      </w:pPr>
      <w:r w:rsidRPr="003E1340">
        <w:rPr>
          <w:b/>
          <w:bCs/>
          <w:color w:val="70AD47" w:themeColor="accent6"/>
        </w:rPr>
        <w:t xml:space="preserve">Key tips from the action research trials </w:t>
      </w:r>
      <w:r>
        <w:rPr>
          <w:b/>
          <w:bCs/>
          <w:color w:val="70AD47" w:themeColor="accent6"/>
        </w:rPr>
        <w:t xml:space="preserve">about what was most effective in content and delivery are included in the general facilitator guide: review this before and during planning your agenda. </w:t>
      </w:r>
    </w:p>
    <w:p w14:paraId="4CE381C2" w14:textId="1ACE7ABE" w:rsidR="003E1340" w:rsidRDefault="003E1340" w:rsidP="00D30D6C">
      <w:pPr>
        <w:sectPr w:rsidR="003E1340" w:rsidSect="00E71191">
          <w:footerReference w:type="default" r:id="rId9"/>
          <w:pgSz w:w="11906" w:h="16838"/>
          <w:pgMar w:top="720" w:right="720" w:bottom="720" w:left="720" w:header="708" w:footer="708" w:gutter="0"/>
          <w:cols w:space="708"/>
          <w:docGrid w:linePitch="360"/>
        </w:sectPr>
      </w:pPr>
    </w:p>
    <w:p w14:paraId="469F5D89" w14:textId="13627BC7" w:rsidR="003E1340" w:rsidRDefault="003E1340" w:rsidP="004E1224">
      <w:pPr>
        <w:pStyle w:val="Heading2"/>
        <w:spacing w:before="360"/>
      </w:pPr>
      <w:r>
        <w:lastRenderedPageBreak/>
        <w:t xml:space="preserve">Menu of options </w:t>
      </w:r>
    </w:p>
    <w:p w14:paraId="0E6FB81D" w14:textId="11AE7542" w:rsidR="000D6630" w:rsidRDefault="003E1340" w:rsidP="00D30D6C">
      <w:r>
        <w:t>The table below contains a</w:t>
      </w:r>
      <w:r w:rsidR="00A4224A">
        <w:t xml:space="preserve"> selection of content and delivery options </w:t>
      </w:r>
      <w:r>
        <w:t>that can</w:t>
      </w:r>
      <w:r w:rsidR="00A4224A">
        <w:t xml:space="preserve"> </w:t>
      </w:r>
      <w:r>
        <w:t>mixed and matched</w:t>
      </w:r>
      <w:r w:rsidR="00A4224A">
        <w:t xml:space="preserve"> to </w:t>
      </w:r>
      <w:r>
        <w:t xml:space="preserve">meet </w:t>
      </w:r>
      <w:r w:rsidR="00A4224A">
        <w:t>the priorities and contexts of each local authority. Not all options will be appropriate for all local authorities, and the full range below would take far longer than a single workshop</w:t>
      </w:r>
      <w:r>
        <w:t xml:space="preserve"> or briefing session</w:t>
      </w:r>
      <w:r w:rsidR="00A4224A">
        <w:t xml:space="preserve">. Some options can be amalgamated – for example, the content of </w:t>
      </w:r>
      <w:r>
        <w:t xml:space="preserve">section 2: </w:t>
      </w:r>
      <w:r w:rsidR="00A4224A">
        <w:t xml:space="preserve">an overview of CDoH and </w:t>
      </w:r>
      <w:r>
        <w:t xml:space="preserve">section 4: </w:t>
      </w:r>
      <w:r w:rsidR="00A4224A">
        <w:t xml:space="preserve">established facts about commercial practices can be combined and delivered either in a presentation or through the </w:t>
      </w:r>
      <w:r>
        <w:t>‘</w:t>
      </w:r>
      <w:r w:rsidR="00A4224A">
        <w:t>evidence quest</w:t>
      </w:r>
      <w:r>
        <w:t>’</w:t>
      </w:r>
      <w:r w:rsidR="00A4224A">
        <w:t xml:space="preserve"> method.</w:t>
      </w:r>
    </w:p>
    <w:p w14:paraId="3F9ABB01" w14:textId="037D1906" w:rsidR="003E1340" w:rsidRDefault="003E1340" w:rsidP="003E1340">
      <w:r>
        <w:t xml:space="preserve">We encourage you to pick and choose a combination of options to create a workshop or briefing session that meets your needs. The linked learning objectives column indicates the learning objectives that the different content and methods of delivery are expected to contribute to achieving. The </w:t>
      </w:r>
      <w:r w:rsidRPr="003E1340">
        <w:rPr>
          <w:color w:val="70AD47" w:themeColor="accent6"/>
        </w:rPr>
        <w:t xml:space="preserve">learning objectives document </w:t>
      </w:r>
      <w:r>
        <w:t xml:space="preserve">gives the details of what these different learning objectives are.  </w:t>
      </w:r>
    </w:p>
    <w:p w14:paraId="2E04E071" w14:textId="5358FF76" w:rsidR="003E1340" w:rsidRDefault="003E1340" w:rsidP="003E1340">
      <w:r>
        <w:t>You may want to run a series of sessions rather than a one-off</w:t>
      </w:r>
      <w:r w:rsidR="004E1224">
        <w:t xml:space="preserve"> or you may </w:t>
      </w:r>
      <w:r>
        <w:t xml:space="preserve">want to run an introductory workshop </w:t>
      </w:r>
      <w:r w:rsidR="004E1224">
        <w:t xml:space="preserve">or briefing session </w:t>
      </w:r>
      <w:r>
        <w:t xml:space="preserve">(which is what </w:t>
      </w:r>
      <w:r w:rsidR="004E1224">
        <w:t>the CDoH Essentials</w:t>
      </w:r>
      <w:r>
        <w:t xml:space="preserve"> materials were designed to support) and then use some of the materials and exercises to do follow up sessions such as team planning, </w:t>
      </w:r>
      <w:r w:rsidR="004E1224">
        <w:t xml:space="preserve">or </w:t>
      </w:r>
      <w:r>
        <w:t xml:space="preserve">monthly case study or journal club style discussions. </w:t>
      </w:r>
    </w:p>
    <w:p w14:paraId="64A8ED0B" w14:textId="3A553172" w:rsidR="003E1340" w:rsidRDefault="004E1224" w:rsidP="00D30D6C">
      <w:r>
        <w:t xml:space="preserve">The second column (ref) gives a number which refers to a section of the materials. The delivery materials are all named using these reference numbers for ease. </w:t>
      </w:r>
    </w:p>
    <w:p w14:paraId="1C23B351" w14:textId="77777777" w:rsidR="004E1224" w:rsidRPr="00D30D6C" w:rsidRDefault="004E1224" w:rsidP="00D30D6C"/>
    <w:tbl>
      <w:tblPr>
        <w:tblStyle w:val="TableGrid"/>
        <w:tblW w:w="0" w:type="auto"/>
        <w:tblLook w:val="04A0" w:firstRow="1" w:lastRow="0" w:firstColumn="1" w:lastColumn="0" w:noHBand="0" w:noVBand="1"/>
      </w:tblPr>
      <w:tblGrid>
        <w:gridCol w:w="2449"/>
        <w:gridCol w:w="554"/>
        <w:gridCol w:w="9356"/>
        <w:gridCol w:w="1239"/>
        <w:gridCol w:w="1254"/>
      </w:tblGrid>
      <w:tr w:rsidR="004E1224" w:rsidRPr="004E1224" w14:paraId="774B4CC1" w14:textId="332B88F1" w:rsidTr="004E1224">
        <w:trPr>
          <w:tblHeader/>
        </w:trPr>
        <w:tc>
          <w:tcPr>
            <w:tcW w:w="2449" w:type="dxa"/>
          </w:tcPr>
          <w:p w14:paraId="13095FEC" w14:textId="321353C2" w:rsidR="00D6601E" w:rsidRPr="004E1224" w:rsidRDefault="00D6601E">
            <w:pPr>
              <w:rPr>
                <w:b/>
                <w:bCs/>
                <w:color w:val="70AD47" w:themeColor="accent6"/>
                <w:sz w:val="24"/>
                <w:szCs w:val="24"/>
              </w:rPr>
            </w:pPr>
            <w:r w:rsidRPr="004E1224">
              <w:rPr>
                <w:b/>
                <w:bCs/>
                <w:color w:val="70AD47" w:themeColor="accent6"/>
                <w:sz w:val="24"/>
                <w:szCs w:val="24"/>
              </w:rPr>
              <w:t>Content</w:t>
            </w:r>
          </w:p>
        </w:tc>
        <w:tc>
          <w:tcPr>
            <w:tcW w:w="554" w:type="dxa"/>
          </w:tcPr>
          <w:p w14:paraId="0B653B2D" w14:textId="03B81287" w:rsidR="00D6601E" w:rsidRPr="004E1224" w:rsidRDefault="00D6601E">
            <w:pPr>
              <w:rPr>
                <w:b/>
                <w:bCs/>
                <w:color w:val="70AD47" w:themeColor="accent6"/>
                <w:sz w:val="24"/>
                <w:szCs w:val="24"/>
              </w:rPr>
            </w:pPr>
            <w:r w:rsidRPr="004E1224">
              <w:rPr>
                <w:b/>
                <w:bCs/>
                <w:color w:val="70AD47" w:themeColor="accent6"/>
                <w:sz w:val="24"/>
                <w:szCs w:val="24"/>
              </w:rPr>
              <w:t>ref</w:t>
            </w:r>
          </w:p>
        </w:tc>
        <w:tc>
          <w:tcPr>
            <w:tcW w:w="9356" w:type="dxa"/>
          </w:tcPr>
          <w:p w14:paraId="69B195EE" w14:textId="0CF0C293" w:rsidR="00D6601E" w:rsidRPr="004E1224" w:rsidRDefault="00D6601E">
            <w:pPr>
              <w:rPr>
                <w:b/>
                <w:bCs/>
                <w:color w:val="70AD47" w:themeColor="accent6"/>
                <w:sz w:val="24"/>
                <w:szCs w:val="24"/>
              </w:rPr>
            </w:pPr>
            <w:r w:rsidRPr="004E1224">
              <w:rPr>
                <w:b/>
                <w:bCs/>
                <w:color w:val="70AD47" w:themeColor="accent6"/>
                <w:sz w:val="24"/>
                <w:szCs w:val="24"/>
              </w:rPr>
              <w:t xml:space="preserve">Delivery method options </w:t>
            </w:r>
          </w:p>
        </w:tc>
        <w:tc>
          <w:tcPr>
            <w:tcW w:w="1239" w:type="dxa"/>
          </w:tcPr>
          <w:p w14:paraId="5CD1CA50" w14:textId="7AF12AFD" w:rsidR="00D6601E" w:rsidRPr="004E1224" w:rsidRDefault="00D6601E">
            <w:pPr>
              <w:rPr>
                <w:b/>
                <w:bCs/>
                <w:color w:val="70AD47" w:themeColor="accent6"/>
                <w:sz w:val="24"/>
                <w:szCs w:val="24"/>
              </w:rPr>
            </w:pPr>
            <w:r w:rsidRPr="004E1224">
              <w:rPr>
                <w:b/>
                <w:bCs/>
                <w:color w:val="70AD47" w:themeColor="accent6"/>
                <w:sz w:val="24"/>
                <w:szCs w:val="24"/>
              </w:rPr>
              <w:t xml:space="preserve">Estimated time </w:t>
            </w:r>
          </w:p>
        </w:tc>
        <w:tc>
          <w:tcPr>
            <w:tcW w:w="1254" w:type="dxa"/>
          </w:tcPr>
          <w:p w14:paraId="28314817" w14:textId="14C3893B" w:rsidR="00D6601E" w:rsidRPr="004E1224" w:rsidRDefault="00D6601E">
            <w:pPr>
              <w:rPr>
                <w:b/>
                <w:bCs/>
                <w:color w:val="70AD47" w:themeColor="accent6"/>
                <w:sz w:val="24"/>
                <w:szCs w:val="24"/>
              </w:rPr>
            </w:pPr>
            <w:r w:rsidRPr="004E1224">
              <w:rPr>
                <w:b/>
                <w:bCs/>
                <w:color w:val="70AD47" w:themeColor="accent6"/>
                <w:sz w:val="24"/>
                <w:szCs w:val="24"/>
              </w:rPr>
              <w:t>Linked learning objectives</w:t>
            </w:r>
          </w:p>
        </w:tc>
      </w:tr>
      <w:tr w:rsidR="00D6601E" w:rsidRPr="009C2FBE" w14:paraId="11CD6B3B" w14:textId="05A75939" w:rsidTr="004E1224">
        <w:trPr>
          <w:trHeight w:val="1240"/>
        </w:trPr>
        <w:tc>
          <w:tcPr>
            <w:tcW w:w="2449" w:type="dxa"/>
          </w:tcPr>
          <w:p w14:paraId="53B50AC2" w14:textId="30FD8812" w:rsidR="00D6601E" w:rsidRPr="009C2FBE" w:rsidRDefault="00D6601E">
            <w:r w:rsidRPr="009C2FBE">
              <w:t xml:space="preserve">Introduction </w:t>
            </w:r>
            <w:r>
              <w:t>and why this matters locally</w:t>
            </w:r>
          </w:p>
        </w:tc>
        <w:tc>
          <w:tcPr>
            <w:tcW w:w="554" w:type="dxa"/>
          </w:tcPr>
          <w:p w14:paraId="084EED5A" w14:textId="4BC39FB9" w:rsidR="00D6601E" w:rsidRDefault="00D6601E">
            <w:r>
              <w:t>1a</w:t>
            </w:r>
          </w:p>
        </w:tc>
        <w:tc>
          <w:tcPr>
            <w:tcW w:w="9356" w:type="dxa"/>
          </w:tcPr>
          <w:p w14:paraId="46B12241" w14:textId="459BE28C" w:rsidR="00D6601E" w:rsidRDefault="00D6601E">
            <w:r>
              <w:t xml:space="preserve">Brief presentation to situate the topic locally - focusing on the vision for the local area and why it is important to understand CDoH in order to achieve </w:t>
            </w:r>
            <w:proofErr w:type="gramStart"/>
            <w:r>
              <w:t>it</w:t>
            </w:r>
            <w:proofErr w:type="gramEnd"/>
            <w:r>
              <w:t xml:space="preserve"> </w:t>
            </w:r>
          </w:p>
          <w:p w14:paraId="636A96B5" w14:textId="0532BDEE" w:rsidR="00D6601E" w:rsidRPr="009C2FBE" w:rsidRDefault="00D6601E">
            <w:r>
              <w:t xml:space="preserve">Also to </w:t>
            </w:r>
            <w:proofErr w:type="gramStart"/>
            <w:r>
              <w:t>cover briefly</w:t>
            </w:r>
            <w:proofErr w:type="gramEnd"/>
            <w:r>
              <w:t xml:space="preserve"> the local authority support for importance of working using a CDoH lens and how it fits with key values &amp; strategies </w:t>
            </w:r>
          </w:p>
        </w:tc>
        <w:tc>
          <w:tcPr>
            <w:tcW w:w="1239" w:type="dxa"/>
          </w:tcPr>
          <w:p w14:paraId="0B247C9E" w14:textId="7910F775" w:rsidR="00D6601E" w:rsidRPr="009C2FBE" w:rsidRDefault="00D6601E">
            <w:r>
              <w:t>5</w:t>
            </w:r>
            <w:r w:rsidR="00FE0C3B">
              <w:t>-10</w:t>
            </w:r>
            <w:r>
              <w:t xml:space="preserve"> mins</w:t>
            </w:r>
          </w:p>
        </w:tc>
        <w:tc>
          <w:tcPr>
            <w:tcW w:w="1254" w:type="dxa"/>
          </w:tcPr>
          <w:p w14:paraId="0016A266" w14:textId="273E2BA0" w:rsidR="00D6601E" w:rsidRDefault="00D3732C">
            <w:r>
              <w:t>L5, L6</w:t>
            </w:r>
          </w:p>
        </w:tc>
      </w:tr>
      <w:tr w:rsidR="00D6601E" w14:paraId="4BC80EF6" w14:textId="7F60C97D" w:rsidTr="00D6601E">
        <w:tc>
          <w:tcPr>
            <w:tcW w:w="2449" w:type="dxa"/>
          </w:tcPr>
          <w:p w14:paraId="2F96EA77" w14:textId="58325F3E" w:rsidR="00D6601E" w:rsidRDefault="00D6601E" w:rsidP="00A2750A">
            <w:r>
              <w:t>Overview of CDoH</w:t>
            </w:r>
          </w:p>
          <w:p w14:paraId="2D8FDED4" w14:textId="52FC3892" w:rsidR="00D6601E" w:rsidRDefault="00D6601E" w:rsidP="00FE0C3B">
            <w:pPr>
              <w:pStyle w:val="ListParagraph"/>
              <w:numPr>
                <w:ilvl w:val="0"/>
                <w:numId w:val="6"/>
              </w:numPr>
              <w:ind w:left="589" w:hanging="425"/>
            </w:pPr>
            <w:r>
              <w:t xml:space="preserve">What are </w:t>
            </w:r>
            <w:proofErr w:type="gramStart"/>
            <w:r>
              <w:t>they</w:t>
            </w:r>
            <w:proofErr w:type="gramEnd"/>
          </w:p>
          <w:p w14:paraId="39975012" w14:textId="48B0A383" w:rsidR="00D6601E" w:rsidRDefault="00D6601E" w:rsidP="00FE0C3B">
            <w:pPr>
              <w:pStyle w:val="ListParagraph"/>
              <w:numPr>
                <w:ilvl w:val="0"/>
                <w:numId w:val="6"/>
              </w:numPr>
              <w:ind w:left="589" w:hanging="425"/>
            </w:pPr>
            <w:r>
              <w:t xml:space="preserve">How they affect health &amp; health inequalities </w:t>
            </w:r>
          </w:p>
          <w:p w14:paraId="6AC9620E" w14:textId="42E5A783" w:rsidR="00D6601E" w:rsidRDefault="00D6601E" w:rsidP="00FE0C3B">
            <w:pPr>
              <w:pStyle w:val="ListParagraph"/>
              <w:numPr>
                <w:ilvl w:val="0"/>
                <w:numId w:val="6"/>
              </w:numPr>
              <w:ind w:left="589" w:hanging="425"/>
            </w:pPr>
            <w:r>
              <w:t>H</w:t>
            </w:r>
            <w:r w:rsidRPr="00D30D6C">
              <w:t xml:space="preserve">ow </w:t>
            </w:r>
            <w:r>
              <w:t xml:space="preserve">they operate </w:t>
            </w:r>
          </w:p>
          <w:p w14:paraId="1ECC8552" w14:textId="0F1A3F05" w:rsidR="00D6601E" w:rsidRDefault="00D6601E" w:rsidP="00A2750A"/>
        </w:tc>
        <w:tc>
          <w:tcPr>
            <w:tcW w:w="554" w:type="dxa"/>
          </w:tcPr>
          <w:p w14:paraId="77A1AC62" w14:textId="08FA97A3" w:rsidR="00D6601E" w:rsidRDefault="00D6601E" w:rsidP="00A2750A">
            <w:r>
              <w:t>2a</w:t>
            </w:r>
          </w:p>
        </w:tc>
        <w:tc>
          <w:tcPr>
            <w:tcW w:w="9356" w:type="dxa"/>
          </w:tcPr>
          <w:p w14:paraId="1484BE93" w14:textId="56F45D07" w:rsidR="00D6601E" w:rsidRDefault="00D6601E" w:rsidP="00A2750A">
            <w:r>
              <w:t xml:space="preserve">Presentation to </w:t>
            </w:r>
            <w:proofErr w:type="gramStart"/>
            <w:r>
              <w:t>cover</w:t>
            </w:r>
            <w:proofErr w:type="gramEnd"/>
            <w:r>
              <w:t xml:space="preserve"> </w:t>
            </w:r>
          </w:p>
          <w:p w14:paraId="3733CDE5" w14:textId="13A07E4E" w:rsidR="00D6601E" w:rsidRDefault="00D6601E" w:rsidP="00A2750A">
            <w:pPr>
              <w:pStyle w:val="ListParagraph"/>
              <w:numPr>
                <w:ilvl w:val="0"/>
                <w:numId w:val="1"/>
              </w:numPr>
            </w:pPr>
            <w:r>
              <w:t xml:space="preserve">Definition/s &amp; key terms </w:t>
            </w:r>
          </w:p>
          <w:p w14:paraId="77233813" w14:textId="37B38E4F" w:rsidR="00D6601E" w:rsidRDefault="00D6601E" w:rsidP="007C6097">
            <w:pPr>
              <w:pStyle w:val="ListParagraph"/>
              <w:numPr>
                <w:ilvl w:val="0"/>
                <w:numId w:val="1"/>
              </w:numPr>
            </w:pPr>
            <w:r>
              <w:t xml:space="preserve">Some key statistics on health &amp; health inequality impacts – </w:t>
            </w:r>
            <w:r w:rsidR="00FE0C3B">
              <w:t xml:space="preserve">to include local / local estimates, national and global </w:t>
            </w:r>
            <w:proofErr w:type="gramStart"/>
            <w:r w:rsidR="00FE0C3B">
              <w:t>data</w:t>
            </w:r>
            <w:proofErr w:type="gramEnd"/>
            <w:r w:rsidR="00FE0C3B">
              <w:t xml:space="preserve"> </w:t>
            </w:r>
          </w:p>
          <w:p w14:paraId="72609AF9" w14:textId="77777777" w:rsidR="00FE0C3B" w:rsidRDefault="00D6601E" w:rsidP="00A2750A">
            <w:pPr>
              <w:pStyle w:val="ListParagraph"/>
              <w:numPr>
                <w:ilvl w:val="0"/>
                <w:numId w:val="1"/>
              </w:numPr>
            </w:pPr>
            <w:r>
              <w:t xml:space="preserve">Situating CDoH as part of social / wider determinants, addressing </w:t>
            </w:r>
            <w:r w:rsidR="00FE0C3B">
              <w:t>how</w:t>
            </w:r>
            <w:r>
              <w:t xml:space="preserve"> individual </w:t>
            </w:r>
            <w:r w:rsidR="00FE0C3B">
              <w:t>and</w:t>
            </w:r>
            <w:r>
              <w:t xml:space="preserve"> structural </w:t>
            </w:r>
            <w:r w:rsidR="00FE0C3B">
              <w:t>factors connect</w:t>
            </w:r>
            <w:r>
              <w:t xml:space="preserve"> (and how choices are shaped) with a single example such as </w:t>
            </w:r>
            <w:r w:rsidR="00FE0C3B">
              <w:t>the food system</w:t>
            </w:r>
            <w:r>
              <w:t xml:space="preserve"> (could be adapted to choose one that particularly resonates locally) </w:t>
            </w:r>
          </w:p>
          <w:p w14:paraId="5E448DE0" w14:textId="543D0341" w:rsidR="00D6601E" w:rsidRDefault="00FE0C3B" w:rsidP="00A2750A">
            <w:pPr>
              <w:pStyle w:val="ListParagraph"/>
              <w:numPr>
                <w:ilvl w:val="0"/>
                <w:numId w:val="1"/>
              </w:numPr>
            </w:pPr>
            <w:r>
              <w:t>U</w:t>
            </w:r>
            <w:r w:rsidR="00D6601E">
              <w:t>se one example to demonstrate public support for measures to address (</w:t>
            </w:r>
            <w:proofErr w:type="spellStart"/>
            <w:r>
              <w:t>eg</w:t>
            </w:r>
            <w:proofErr w:type="spellEnd"/>
            <w:r>
              <w:t xml:space="preserve"> </w:t>
            </w:r>
            <w:r w:rsidR="00D6601E">
              <w:t>regulation</w:t>
            </w:r>
            <w:r>
              <w:t>)</w:t>
            </w:r>
          </w:p>
          <w:p w14:paraId="2D6E0019" w14:textId="77777777" w:rsidR="00D6601E" w:rsidRDefault="00D6601E" w:rsidP="004E1224">
            <w:pPr>
              <w:pStyle w:val="ListParagraph"/>
              <w:numPr>
                <w:ilvl w:val="0"/>
                <w:numId w:val="1"/>
              </w:numPr>
            </w:pPr>
            <w:r>
              <w:t>Mechanisms – show how CDoH operate covering in brief the range of m</w:t>
            </w:r>
            <w:r w:rsidRPr="00D30D6C">
              <w:t>ark</w:t>
            </w:r>
            <w:r>
              <w:t>et</w:t>
            </w:r>
            <w:r w:rsidRPr="00D30D6C">
              <w:t xml:space="preserve"> and non-market actions</w:t>
            </w:r>
            <w:r>
              <w:t xml:space="preserve"> using </w:t>
            </w:r>
            <w:r w:rsidR="00FE0C3B">
              <w:t xml:space="preserve">the Lancet </w:t>
            </w:r>
            <w:proofErr w:type="gramStart"/>
            <w:r w:rsidR="00FE0C3B">
              <w:t>framework</w:t>
            </w:r>
            <w:proofErr w:type="gramEnd"/>
            <w:r w:rsidR="00FE0C3B">
              <w:t xml:space="preserve"> </w:t>
            </w:r>
            <w:r>
              <w:t xml:space="preserve"> </w:t>
            </w:r>
          </w:p>
          <w:p w14:paraId="27236259" w14:textId="2CDEE561" w:rsidR="004E1224" w:rsidRPr="004E1224" w:rsidRDefault="004E1224" w:rsidP="004E1224">
            <w:pPr>
              <w:rPr>
                <w:sz w:val="16"/>
                <w:szCs w:val="16"/>
              </w:rPr>
            </w:pPr>
          </w:p>
        </w:tc>
        <w:tc>
          <w:tcPr>
            <w:tcW w:w="1239" w:type="dxa"/>
          </w:tcPr>
          <w:p w14:paraId="1380B5B8" w14:textId="0945F31A" w:rsidR="00D6601E" w:rsidRDefault="00D6601E" w:rsidP="00A2750A">
            <w:r>
              <w:t>1</w:t>
            </w:r>
            <w:r w:rsidR="00FE0C3B">
              <w:t>5-30 minutes</w:t>
            </w:r>
          </w:p>
        </w:tc>
        <w:tc>
          <w:tcPr>
            <w:tcW w:w="1254" w:type="dxa"/>
          </w:tcPr>
          <w:p w14:paraId="3F1EC795" w14:textId="7BD47BFD" w:rsidR="00D6601E" w:rsidRDefault="004866A6" w:rsidP="004866A6">
            <w:r>
              <w:t>L1, L2</w:t>
            </w:r>
            <w:r w:rsidR="00D3732C">
              <w:t>, L6</w:t>
            </w:r>
          </w:p>
        </w:tc>
      </w:tr>
      <w:tr w:rsidR="00D6601E" w14:paraId="60EA1647" w14:textId="1ADB7A78" w:rsidTr="00D6601E">
        <w:tc>
          <w:tcPr>
            <w:tcW w:w="2449" w:type="dxa"/>
            <w:vMerge w:val="restart"/>
          </w:tcPr>
          <w:p w14:paraId="57D25BA2" w14:textId="0B4776CE" w:rsidR="00D6601E" w:rsidRDefault="00D6601E" w:rsidP="00A2750A">
            <w:r>
              <w:lastRenderedPageBreak/>
              <w:t xml:space="preserve">Use examples to illustrate the mechanisms by which CDoH act (step by step), the impacts they have on </w:t>
            </w:r>
            <w:proofErr w:type="spellStart"/>
            <w:r>
              <w:t>ppn</w:t>
            </w:r>
            <w:proofErr w:type="spellEnd"/>
            <w:r>
              <w:t xml:space="preserve"> health and inequalities, physical/social environment – show range of ways CDoH affect health &amp; inequalities using local </w:t>
            </w:r>
            <w:proofErr w:type="gramStart"/>
            <w:r>
              <w:t>examples</w:t>
            </w:r>
            <w:proofErr w:type="gramEnd"/>
            <w:r>
              <w:t xml:space="preserve"> </w:t>
            </w:r>
          </w:p>
          <w:p w14:paraId="54F2D945" w14:textId="77777777" w:rsidR="00D6601E" w:rsidRDefault="00D6601E" w:rsidP="00A2750A"/>
        </w:tc>
        <w:tc>
          <w:tcPr>
            <w:tcW w:w="554" w:type="dxa"/>
          </w:tcPr>
          <w:p w14:paraId="2B600F58" w14:textId="6758FD0A" w:rsidR="00D6601E" w:rsidRDefault="00D6601E" w:rsidP="00A2750A">
            <w:r>
              <w:t>3a</w:t>
            </w:r>
          </w:p>
        </w:tc>
        <w:tc>
          <w:tcPr>
            <w:tcW w:w="9356" w:type="dxa"/>
          </w:tcPr>
          <w:p w14:paraId="5F702D27" w14:textId="4D15B062" w:rsidR="00D6601E" w:rsidRDefault="00D6601E" w:rsidP="00A2750A">
            <w:r>
              <w:t>Presentation to cover the very basics of mechanisms</w:t>
            </w:r>
            <w:r w:rsidR="00FE0C3B">
              <w:t xml:space="preserve">, using the Lancet framework </w:t>
            </w:r>
            <w:r>
              <w:t xml:space="preserve">give a specific example with evidence for each mechanism, in brief – ensure the examples are locally relevant and focus on health </w:t>
            </w:r>
            <w:proofErr w:type="gramStart"/>
            <w:r>
              <w:t>inequalities</w:t>
            </w:r>
            <w:proofErr w:type="gramEnd"/>
            <w:r>
              <w:t xml:space="preserve"> </w:t>
            </w:r>
          </w:p>
          <w:p w14:paraId="44B6091C" w14:textId="77777777" w:rsidR="00D6601E" w:rsidRDefault="00D6601E" w:rsidP="00A2750A"/>
          <w:p w14:paraId="0386071C" w14:textId="5F60AF4F" w:rsidR="00D6601E" w:rsidRDefault="00D6601E" w:rsidP="00A2750A"/>
        </w:tc>
        <w:tc>
          <w:tcPr>
            <w:tcW w:w="1239" w:type="dxa"/>
          </w:tcPr>
          <w:p w14:paraId="47CB64E2" w14:textId="7156A71F" w:rsidR="00D6601E" w:rsidRDefault="00D6601E" w:rsidP="00A2750A">
            <w:r>
              <w:t>5</w:t>
            </w:r>
            <w:r w:rsidR="004E1224">
              <w:t>+</w:t>
            </w:r>
            <w:r>
              <w:t xml:space="preserve"> mins</w:t>
            </w:r>
          </w:p>
        </w:tc>
        <w:tc>
          <w:tcPr>
            <w:tcW w:w="1254" w:type="dxa"/>
          </w:tcPr>
          <w:p w14:paraId="70F6112D" w14:textId="5278385E" w:rsidR="00D6601E" w:rsidRDefault="004866A6" w:rsidP="004866A6">
            <w:r>
              <w:t>L1, L5</w:t>
            </w:r>
            <w:r w:rsidR="00D3732C">
              <w:t>, L6</w:t>
            </w:r>
          </w:p>
        </w:tc>
      </w:tr>
      <w:tr w:rsidR="00D6601E" w14:paraId="2DF80474" w14:textId="2AFDE568" w:rsidTr="004E1224">
        <w:trPr>
          <w:trHeight w:val="595"/>
        </w:trPr>
        <w:tc>
          <w:tcPr>
            <w:tcW w:w="2449" w:type="dxa"/>
            <w:vMerge/>
          </w:tcPr>
          <w:p w14:paraId="6163E4D5" w14:textId="1C2B1833" w:rsidR="00D6601E" w:rsidRDefault="00D6601E" w:rsidP="00A2750A"/>
        </w:tc>
        <w:tc>
          <w:tcPr>
            <w:tcW w:w="554" w:type="dxa"/>
          </w:tcPr>
          <w:p w14:paraId="799018B9" w14:textId="77777777" w:rsidR="00D6601E" w:rsidRDefault="00D6601E" w:rsidP="00A2750A"/>
        </w:tc>
        <w:tc>
          <w:tcPr>
            <w:tcW w:w="9356" w:type="dxa"/>
          </w:tcPr>
          <w:p w14:paraId="504E9B8A" w14:textId="1F397026" w:rsidR="00D6601E" w:rsidRDefault="00D6601E" w:rsidP="00A2750A">
            <w:r>
              <w:t xml:space="preserve">Suggest that ONE of the following approaches (facilitated group exercise or interactive mapping) would be used </w:t>
            </w:r>
          </w:p>
        </w:tc>
        <w:tc>
          <w:tcPr>
            <w:tcW w:w="1239" w:type="dxa"/>
          </w:tcPr>
          <w:p w14:paraId="72B1E701" w14:textId="77777777" w:rsidR="00D6601E" w:rsidRDefault="00D6601E" w:rsidP="00A2750A"/>
        </w:tc>
        <w:tc>
          <w:tcPr>
            <w:tcW w:w="1254" w:type="dxa"/>
          </w:tcPr>
          <w:p w14:paraId="69569C92" w14:textId="77777777" w:rsidR="00D6601E" w:rsidRDefault="00D6601E" w:rsidP="00A2750A"/>
        </w:tc>
      </w:tr>
      <w:tr w:rsidR="004866A6" w14:paraId="60C7A0DC" w14:textId="3AC18C6B" w:rsidTr="00D6601E">
        <w:tc>
          <w:tcPr>
            <w:tcW w:w="2449" w:type="dxa"/>
            <w:vMerge/>
          </w:tcPr>
          <w:p w14:paraId="2850A6EA" w14:textId="4CEC4996" w:rsidR="004866A6" w:rsidRDefault="004866A6" w:rsidP="004866A6"/>
        </w:tc>
        <w:tc>
          <w:tcPr>
            <w:tcW w:w="554" w:type="dxa"/>
          </w:tcPr>
          <w:p w14:paraId="410A7160" w14:textId="2D5DB4AC" w:rsidR="004866A6" w:rsidRDefault="004866A6" w:rsidP="004866A6">
            <w:r>
              <w:t>3b</w:t>
            </w:r>
          </w:p>
        </w:tc>
        <w:tc>
          <w:tcPr>
            <w:tcW w:w="9356" w:type="dxa"/>
          </w:tcPr>
          <w:p w14:paraId="21991321" w14:textId="17F4B72D" w:rsidR="004866A6" w:rsidRDefault="004866A6" w:rsidP="004866A6">
            <w:r>
              <w:t>Facilitated group exercise to review a case study</w:t>
            </w:r>
            <w:r w:rsidR="004E1224">
              <w:t>*</w:t>
            </w:r>
            <w:r>
              <w:t xml:space="preserve"> to:</w:t>
            </w:r>
          </w:p>
          <w:p w14:paraId="10578DDA" w14:textId="17A6DDDE" w:rsidR="004866A6" w:rsidRDefault="004866A6" w:rsidP="004866A6">
            <w:r>
              <w:t xml:space="preserve">- identify CDoH mechanisms and the impacts on health &amp; inequalities </w:t>
            </w:r>
          </w:p>
          <w:p w14:paraId="0B450511" w14:textId="5629A958" w:rsidR="004866A6" w:rsidRDefault="004866A6" w:rsidP="004866A6">
            <w:r>
              <w:t xml:space="preserve">- </w:t>
            </w:r>
            <w:r w:rsidR="00FA6EC5">
              <w:t xml:space="preserve">start to </w:t>
            </w:r>
            <w:r>
              <w:t xml:space="preserve">identify opportunities for interventions / how to address </w:t>
            </w:r>
          </w:p>
          <w:p w14:paraId="39201A47" w14:textId="770BC51D" w:rsidR="004866A6" w:rsidRDefault="004866A6" w:rsidP="004866A6"/>
        </w:tc>
        <w:tc>
          <w:tcPr>
            <w:tcW w:w="1239" w:type="dxa"/>
          </w:tcPr>
          <w:p w14:paraId="1F9CE345" w14:textId="45FD2F01" w:rsidR="004866A6" w:rsidRDefault="004866A6" w:rsidP="004866A6">
            <w:r>
              <w:t>20 mins</w:t>
            </w:r>
          </w:p>
        </w:tc>
        <w:tc>
          <w:tcPr>
            <w:tcW w:w="1254" w:type="dxa"/>
          </w:tcPr>
          <w:p w14:paraId="2E34B69F" w14:textId="5993B467" w:rsidR="004866A6" w:rsidRDefault="004866A6" w:rsidP="004866A6">
            <w:r>
              <w:t>L1, L2, L4, L5</w:t>
            </w:r>
            <w:r w:rsidR="00D3732C">
              <w:t>, L6</w:t>
            </w:r>
          </w:p>
        </w:tc>
      </w:tr>
      <w:tr w:rsidR="004866A6" w14:paraId="0B8A1E60" w14:textId="374EABC2" w:rsidTr="00D6601E">
        <w:tc>
          <w:tcPr>
            <w:tcW w:w="2449" w:type="dxa"/>
            <w:vMerge/>
          </w:tcPr>
          <w:p w14:paraId="0F659C61" w14:textId="05699131" w:rsidR="004866A6" w:rsidRDefault="004866A6" w:rsidP="004866A6"/>
        </w:tc>
        <w:tc>
          <w:tcPr>
            <w:tcW w:w="554" w:type="dxa"/>
          </w:tcPr>
          <w:p w14:paraId="156C5975" w14:textId="48108719" w:rsidR="004866A6" w:rsidRDefault="004866A6" w:rsidP="004866A6">
            <w:r>
              <w:t>3c</w:t>
            </w:r>
          </w:p>
        </w:tc>
        <w:tc>
          <w:tcPr>
            <w:tcW w:w="9356" w:type="dxa"/>
          </w:tcPr>
          <w:p w14:paraId="482CEF02" w14:textId="48AC4F55" w:rsidR="004866A6" w:rsidRDefault="004866A6" w:rsidP="004866A6">
            <w:r>
              <w:t xml:space="preserve">Interactive group mapping exercise to identify where commercial influences may occur locally </w:t>
            </w:r>
          </w:p>
        </w:tc>
        <w:tc>
          <w:tcPr>
            <w:tcW w:w="1239" w:type="dxa"/>
          </w:tcPr>
          <w:p w14:paraId="7ED9FB49" w14:textId="383FE757" w:rsidR="004866A6" w:rsidRDefault="004866A6" w:rsidP="004866A6">
            <w:r>
              <w:t xml:space="preserve">20 mins </w:t>
            </w:r>
          </w:p>
        </w:tc>
        <w:tc>
          <w:tcPr>
            <w:tcW w:w="1254" w:type="dxa"/>
          </w:tcPr>
          <w:p w14:paraId="601FFB94" w14:textId="555A1FC6" w:rsidR="004866A6" w:rsidRDefault="004866A6" w:rsidP="004866A6">
            <w:r>
              <w:t>L1, L2, L5</w:t>
            </w:r>
          </w:p>
        </w:tc>
      </w:tr>
      <w:tr w:rsidR="004866A6" w:rsidRPr="009C2FBE" w14:paraId="09C349AB" w14:textId="46034F42" w:rsidTr="00D6601E">
        <w:tc>
          <w:tcPr>
            <w:tcW w:w="2449" w:type="dxa"/>
            <w:vMerge w:val="restart"/>
          </w:tcPr>
          <w:p w14:paraId="34AE5215" w14:textId="56002A30" w:rsidR="004866A6" w:rsidRPr="009C2FBE" w:rsidRDefault="004866A6" w:rsidP="004866A6">
            <w:r>
              <w:t xml:space="preserve">Present established facts about </w:t>
            </w:r>
            <w:r w:rsidR="00A94099">
              <w:t xml:space="preserve">commercial practices </w:t>
            </w:r>
            <w:r>
              <w:t xml:space="preserve"> </w:t>
            </w:r>
          </w:p>
        </w:tc>
        <w:tc>
          <w:tcPr>
            <w:tcW w:w="554" w:type="dxa"/>
          </w:tcPr>
          <w:p w14:paraId="28522362" w14:textId="163BAF03" w:rsidR="004866A6" w:rsidRDefault="004866A6" w:rsidP="004866A6">
            <w:r>
              <w:t>4a</w:t>
            </w:r>
          </w:p>
        </w:tc>
        <w:tc>
          <w:tcPr>
            <w:tcW w:w="9356" w:type="dxa"/>
          </w:tcPr>
          <w:p w14:paraId="23DBA580" w14:textId="77777777" w:rsidR="004866A6" w:rsidRDefault="004866A6" w:rsidP="004866A6">
            <w:r>
              <w:t xml:space="preserve">Evidence </w:t>
            </w:r>
            <w:r w:rsidR="00A87936">
              <w:t>quest</w:t>
            </w:r>
            <w:r>
              <w:t xml:space="preserve"> </w:t>
            </w:r>
            <w:hyperlink r:id="rId10" w:history="1">
              <w:r w:rsidRPr="00095FF0">
                <w:rPr>
                  <w:rStyle w:val="Hyperlink"/>
                </w:rPr>
                <w:t>https://openpolicy.blog.gov.uk/2016/03/07/exploring-the-evidence/</w:t>
              </w:r>
            </w:hyperlink>
            <w:r>
              <w:t xml:space="preserve"> in the room d</w:t>
            </w:r>
            <w:r w:rsidRPr="00A2750A">
              <w:t xml:space="preserve">emonstrating </w:t>
            </w:r>
            <w:r w:rsidR="00A94099">
              <w:t>commercial practices</w:t>
            </w:r>
            <w:r w:rsidRPr="00A2750A">
              <w:t xml:space="preserve"> </w:t>
            </w:r>
            <w:r>
              <w:t>through</w:t>
            </w:r>
            <w:r w:rsidRPr="00A2750A">
              <w:t xml:space="preserve"> case studies</w:t>
            </w:r>
            <w:r>
              <w:t xml:space="preserve"> (ensure some demonstrate unequal exposure and impact on inequalities)</w:t>
            </w:r>
            <w:r w:rsidRPr="00A2750A">
              <w:t>, and timelines showing the manufacture of doubt</w:t>
            </w:r>
            <w:r>
              <w:t xml:space="preserve"> by different industries  </w:t>
            </w:r>
          </w:p>
          <w:p w14:paraId="1E8FBC0F" w14:textId="558DD1C3" w:rsidR="00A4224A" w:rsidRPr="00A4224A" w:rsidRDefault="00A4224A" w:rsidP="00A4224A"/>
        </w:tc>
        <w:tc>
          <w:tcPr>
            <w:tcW w:w="1239" w:type="dxa"/>
          </w:tcPr>
          <w:p w14:paraId="0B2E496B" w14:textId="4E153EE2" w:rsidR="004866A6" w:rsidRPr="009C2FBE" w:rsidRDefault="004866A6" w:rsidP="004866A6">
            <w:r>
              <w:t>20</w:t>
            </w:r>
            <w:r w:rsidR="00FA6EC5">
              <w:t>-45mins+</w:t>
            </w:r>
          </w:p>
        </w:tc>
        <w:tc>
          <w:tcPr>
            <w:tcW w:w="1254" w:type="dxa"/>
          </w:tcPr>
          <w:p w14:paraId="0FA5D522" w14:textId="77777777" w:rsidR="004866A6" w:rsidRDefault="004866A6" w:rsidP="004866A6">
            <w:r>
              <w:t>L1, L2, L3</w:t>
            </w:r>
          </w:p>
          <w:p w14:paraId="08045F70" w14:textId="7D81E11E" w:rsidR="004866A6" w:rsidRDefault="004866A6" w:rsidP="004866A6"/>
        </w:tc>
      </w:tr>
      <w:tr w:rsidR="004866A6" w:rsidRPr="009C2FBE" w14:paraId="3764D964" w14:textId="2ACDF19A" w:rsidTr="004E1224">
        <w:trPr>
          <w:trHeight w:val="1203"/>
        </w:trPr>
        <w:tc>
          <w:tcPr>
            <w:tcW w:w="2449" w:type="dxa"/>
            <w:vMerge/>
          </w:tcPr>
          <w:p w14:paraId="23EDD6A7" w14:textId="69E1B169" w:rsidR="004866A6" w:rsidRDefault="004866A6" w:rsidP="004866A6"/>
        </w:tc>
        <w:tc>
          <w:tcPr>
            <w:tcW w:w="554" w:type="dxa"/>
          </w:tcPr>
          <w:p w14:paraId="72591146" w14:textId="793DBA1A" w:rsidR="004866A6" w:rsidRDefault="004866A6" w:rsidP="004866A6">
            <w:r>
              <w:t>4b</w:t>
            </w:r>
          </w:p>
        </w:tc>
        <w:tc>
          <w:tcPr>
            <w:tcW w:w="9356" w:type="dxa"/>
          </w:tcPr>
          <w:p w14:paraId="76507A9D" w14:textId="064E9B62" w:rsidR="004866A6" w:rsidRDefault="004866A6" w:rsidP="004866A6">
            <w:r>
              <w:t xml:space="preserve">As an exercise, </w:t>
            </w:r>
            <w:r w:rsidR="00FA6EC5">
              <w:t>attendees are given</w:t>
            </w:r>
            <w:r>
              <w:t xml:space="preserve"> </w:t>
            </w:r>
            <w:r w:rsidR="00FA6EC5">
              <w:t>simplified frameworks (there is one for commercial practices and one for public health actions which can be used if the extension to this quest is used with case studies of action as well as commercial practices) and encouraged to find examples</w:t>
            </w:r>
            <w:r>
              <w:t xml:space="preserve"> round the room and fill in brief details on a sheet as they find them  </w:t>
            </w:r>
          </w:p>
        </w:tc>
        <w:tc>
          <w:tcPr>
            <w:tcW w:w="1239" w:type="dxa"/>
          </w:tcPr>
          <w:p w14:paraId="087CD0D9" w14:textId="246578BB" w:rsidR="004866A6" w:rsidRPr="009C2FBE" w:rsidRDefault="004866A6" w:rsidP="004866A6"/>
        </w:tc>
        <w:tc>
          <w:tcPr>
            <w:tcW w:w="1254" w:type="dxa"/>
          </w:tcPr>
          <w:p w14:paraId="39BA7757" w14:textId="55540F17" w:rsidR="004866A6" w:rsidRPr="009C2FBE" w:rsidRDefault="00FA6EC5" w:rsidP="00FA6EC5">
            <w:r>
              <w:t>L1, L3, L4, L5, L6</w:t>
            </w:r>
          </w:p>
        </w:tc>
      </w:tr>
      <w:tr w:rsidR="004866A6" w14:paraId="66D37053" w14:textId="418108A4" w:rsidTr="00D6601E">
        <w:tc>
          <w:tcPr>
            <w:tcW w:w="2449" w:type="dxa"/>
          </w:tcPr>
          <w:p w14:paraId="32F4B2E3" w14:textId="2C964606" w:rsidR="004866A6" w:rsidRDefault="00FA6EC5" w:rsidP="004866A6">
            <w:r>
              <w:t xml:space="preserve">Present examples of action and evidence of public support </w:t>
            </w:r>
          </w:p>
        </w:tc>
        <w:tc>
          <w:tcPr>
            <w:tcW w:w="554" w:type="dxa"/>
          </w:tcPr>
          <w:p w14:paraId="263B6BAC" w14:textId="7BE7AEDC" w:rsidR="004866A6" w:rsidRDefault="004866A6" w:rsidP="004866A6">
            <w:r>
              <w:t>4c</w:t>
            </w:r>
          </w:p>
        </w:tc>
        <w:tc>
          <w:tcPr>
            <w:tcW w:w="9356" w:type="dxa"/>
          </w:tcPr>
          <w:p w14:paraId="2EFE3B67" w14:textId="0B285E47" w:rsidR="004866A6" w:rsidRDefault="004866A6" w:rsidP="004866A6">
            <w:r>
              <w:t xml:space="preserve">An addition to the evidence </w:t>
            </w:r>
            <w:proofErr w:type="gramStart"/>
            <w:r w:rsidR="00A87936">
              <w:t>quest</w:t>
            </w:r>
            <w:proofErr w:type="gramEnd"/>
            <w:r>
              <w:t xml:space="preserve"> on </w:t>
            </w:r>
            <w:r w:rsidR="007A7D29">
              <w:t>commercial practices</w:t>
            </w:r>
            <w:r>
              <w:t xml:space="preserve"> could be the case studies to be used in other exercises including examples of successful action  </w:t>
            </w:r>
          </w:p>
          <w:p w14:paraId="707F74F8" w14:textId="6A39AFCA" w:rsidR="00FA6EC5" w:rsidRDefault="00FA6EC5" w:rsidP="004866A6">
            <w:r>
              <w:t xml:space="preserve">An addition to the evidence quest could be infographics showing public support for different actions to address CDoH - regulatory actions (ASH public survey for </w:t>
            </w:r>
            <w:proofErr w:type="spellStart"/>
            <w:r>
              <w:t>eg</w:t>
            </w:r>
            <w:proofErr w:type="spellEnd"/>
            <w:r>
              <w:t>), young people campaigning on advertising (</w:t>
            </w:r>
            <w:hyperlink r:id="rId11" w:history="1">
              <w:r w:rsidRPr="00095FF0">
                <w:rPr>
                  <w:rStyle w:val="Hyperlink"/>
                </w:rPr>
                <w:t>https://www.biteback2030.com/</w:t>
              </w:r>
            </w:hyperlink>
            <w:r>
              <w:t>)</w:t>
            </w:r>
          </w:p>
        </w:tc>
        <w:tc>
          <w:tcPr>
            <w:tcW w:w="1239" w:type="dxa"/>
          </w:tcPr>
          <w:p w14:paraId="64B74B5F" w14:textId="77777777" w:rsidR="004866A6" w:rsidRDefault="004866A6" w:rsidP="004866A6"/>
        </w:tc>
        <w:tc>
          <w:tcPr>
            <w:tcW w:w="1254" w:type="dxa"/>
          </w:tcPr>
          <w:p w14:paraId="0E3552B9" w14:textId="1AAB2F38" w:rsidR="004866A6" w:rsidRDefault="004866A6" w:rsidP="004866A6">
            <w:r>
              <w:t>L1, L3, L4, L5, L6</w:t>
            </w:r>
          </w:p>
        </w:tc>
      </w:tr>
      <w:tr w:rsidR="004866A6" w14:paraId="6A161F41" w14:textId="3C693764" w:rsidTr="00D6601E">
        <w:tc>
          <w:tcPr>
            <w:tcW w:w="2449" w:type="dxa"/>
          </w:tcPr>
          <w:p w14:paraId="3E07AADB" w14:textId="0611D6B1" w:rsidR="004866A6" w:rsidRDefault="004866A6" w:rsidP="004866A6">
            <w:r>
              <w:t>Present possibilities for LA action Local authority levers and opportunities – where is its influence, where can it act</w:t>
            </w:r>
          </w:p>
        </w:tc>
        <w:tc>
          <w:tcPr>
            <w:tcW w:w="554" w:type="dxa"/>
          </w:tcPr>
          <w:p w14:paraId="47E33CB3" w14:textId="42AAE771" w:rsidR="004866A6" w:rsidRDefault="004866A6" w:rsidP="004866A6">
            <w:r>
              <w:t>5a</w:t>
            </w:r>
          </w:p>
        </w:tc>
        <w:tc>
          <w:tcPr>
            <w:tcW w:w="9356" w:type="dxa"/>
          </w:tcPr>
          <w:p w14:paraId="2C81F948" w14:textId="77777777" w:rsidR="004866A6" w:rsidRDefault="00FA6EC5" w:rsidP="004866A6">
            <w:r>
              <w:t xml:space="preserve">A presentation to </w:t>
            </w:r>
            <w:proofErr w:type="gramStart"/>
            <w:r>
              <w:t>cover</w:t>
            </w:r>
            <w:proofErr w:type="gramEnd"/>
            <w:r>
              <w:t xml:space="preserve"> </w:t>
            </w:r>
          </w:p>
          <w:p w14:paraId="23C34E6A" w14:textId="77777777" w:rsidR="00FA6EC5" w:rsidRDefault="00FA6EC5" w:rsidP="00FA6EC5">
            <w:pPr>
              <w:pStyle w:val="ListParagraph"/>
              <w:numPr>
                <w:ilvl w:val="0"/>
                <w:numId w:val="1"/>
              </w:numPr>
            </w:pPr>
            <w:r>
              <w:t xml:space="preserve">Frameworks for action (ASH/AHA/OHA cross risk factor framework, Lancet framework, Health Foundation framework) </w:t>
            </w:r>
          </w:p>
          <w:p w14:paraId="6F0FCCC8" w14:textId="000752E5" w:rsidR="00FA6EC5" w:rsidRDefault="00FA6EC5" w:rsidP="00FA6EC5">
            <w:pPr>
              <w:pStyle w:val="ListParagraph"/>
              <w:numPr>
                <w:ilvl w:val="0"/>
                <w:numId w:val="1"/>
              </w:numPr>
            </w:pPr>
            <w:r>
              <w:t xml:space="preserve">Annotated frameworks in which brief examples are given for each domain OR interactive presentation with attendees calling out examples </w:t>
            </w:r>
          </w:p>
        </w:tc>
        <w:tc>
          <w:tcPr>
            <w:tcW w:w="1239" w:type="dxa"/>
          </w:tcPr>
          <w:p w14:paraId="4C300AAB" w14:textId="29008497" w:rsidR="004866A6" w:rsidRDefault="00FA6EC5" w:rsidP="004866A6">
            <w:r>
              <w:t>10-20 minutes</w:t>
            </w:r>
          </w:p>
        </w:tc>
        <w:tc>
          <w:tcPr>
            <w:tcW w:w="1254" w:type="dxa"/>
          </w:tcPr>
          <w:p w14:paraId="2B7ECEC5" w14:textId="763DCD40" w:rsidR="004866A6" w:rsidRDefault="00FA6EC5" w:rsidP="00FA6EC5">
            <w:r>
              <w:t>L4, L5</w:t>
            </w:r>
          </w:p>
        </w:tc>
      </w:tr>
      <w:tr w:rsidR="00FA6EC5" w14:paraId="69A5143A" w14:textId="77777777" w:rsidTr="004E1224">
        <w:trPr>
          <w:trHeight w:val="1796"/>
        </w:trPr>
        <w:tc>
          <w:tcPr>
            <w:tcW w:w="2449" w:type="dxa"/>
          </w:tcPr>
          <w:p w14:paraId="35591332" w14:textId="77777777" w:rsidR="00FA6EC5" w:rsidRDefault="00FA6EC5" w:rsidP="00FA6EC5"/>
        </w:tc>
        <w:tc>
          <w:tcPr>
            <w:tcW w:w="554" w:type="dxa"/>
          </w:tcPr>
          <w:p w14:paraId="35422860" w14:textId="77777777" w:rsidR="00FA6EC5" w:rsidRDefault="00FA6EC5" w:rsidP="00FA6EC5"/>
        </w:tc>
        <w:tc>
          <w:tcPr>
            <w:tcW w:w="9356" w:type="dxa"/>
          </w:tcPr>
          <w:p w14:paraId="7117E5E7" w14:textId="6D3B0584" w:rsidR="00FA6EC5" w:rsidRDefault="00FA6EC5" w:rsidP="00FA6EC5">
            <w:r>
              <w:t>A possibilities board can be created and added to throughout the session (</w:t>
            </w:r>
            <w:proofErr w:type="spellStart"/>
            <w:r>
              <w:t>eg</w:t>
            </w:r>
            <w:proofErr w:type="spellEnd"/>
            <w:r>
              <w:t xml:space="preserve"> when deconstructing the case studies), </w:t>
            </w:r>
          </w:p>
          <w:p w14:paraId="4613C217" w14:textId="0BB0EE65" w:rsidR="00FA6EC5" w:rsidRDefault="00FA6EC5" w:rsidP="000D6630">
            <w:r>
              <w:t xml:space="preserve">At the start, set up frameworks for action (such as the </w:t>
            </w:r>
            <w:hyperlink r:id="rId12" w:history="1">
              <w:r w:rsidRPr="00C63FFE">
                <w:rPr>
                  <w:rStyle w:val="Hyperlink"/>
                </w:rPr>
                <w:t>Public Health Playbook</w:t>
              </w:r>
            </w:hyperlink>
            <w:r>
              <w:t xml:space="preserve"> and </w:t>
            </w:r>
            <w:hyperlink r:id="rId13" w:history="1">
              <w:r w:rsidRPr="00C63FFE">
                <w:rPr>
                  <w:rStyle w:val="Hyperlink"/>
                </w:rPr>
                <w:t>CDoH Future Directions panel</w:t>
              </w:r>
            </w:hyperlink>
            <w:r>
              <w:t xml:space="preserve">), </w:t>
            </w:r>
            <w:hyperlink r:id="rId14" w:history="1">
              <w:r w:rsidRPr="00C63FFE">
                <w:rPr>
                  <w:rStyle w:val="Hyperlink"/>
                </w:rPr>
                <w:t>typology of local authority interaction with harmful commodity industries</w:t>
              </w:r>
            </w:hyperlink>
            <w:r>
              <w:t xml:space="preserve"> and case studies of successful actions that are locally relevant</w:t>
            </w:r>
            <w:r w:rsidR="000D6630">
              <w:t>) and th</w:t>
            </w:r>
            <w:r>
              <w:t>ese could be added to and annotated to show what the participants think could be done locally</w:t>
            </w:r>
          </w:p>
        </w:tc>
        <w:tc>
          <w:tcPr>
            <w:tcW w:w="1239" w:type="dxa"/>
          </w:tcPr>
          <w:p w14:paraId="7F09D6AD" w14:textId="00C1DF06" w:rsidR="00FA6EC5" w:rsidRDefault="00FA6EC5" w:rsidP="00FA6EC5">
            <w:r>
              <w:t xml:space="preserve">n/a – used throughout other exercises </w:t>
            </w:r>
          </w:p>
        </w:tc>
        <w:tc>
          <w:tcPr>
            <w:tcW w:w="1254" w:type="dxa"/>
          </w:tcPr>
          <w:p w14:paraId="377DA163" w14:textId="445994C5" w:rsidR="00FA6EC5" w:rsidRDefault="00FA6EC5" w:rsidP="00FA6EC5">
            <w:r>
              <w:t>L4, L5</w:t>
            </w:r>
            <w:r w:rsidR="00D3732C">
              <w:t>, L6</w:t>
            </w:r>
          </w:p>
        </w:tc>
      </w:tr>
      <w:tr w:rsidR="004866A6" w14:paraId="3D95755F" w14:textId="3ACF346F" w:rsidTr="004E1224">
        <w:trPr>
          <w:trHeight w:val="418"/>
        </w:trPr>
        <w:tc>
          <w:tcPr>
            <w:tcW w:w="2449" w:type="dxa"/>
          </w:tcPr>
          <w:p w14:paraId="725BDAE1" w14:textId="64861776" w:rsidR="004866A6" w:rsidRDefault="004866A6" w:rsidP="004866A6"/>
        </w:tc>
        <w:tc>
          <w:tcPr>
            <w:tcW w:w="554" w:type="dxa"/>
          </w:tcPr>
          <w:p w14:paraId="55FDC100" w14:textId="77777777" w:rsidR="004866A6" w:rsidRDefault="004866A6" w:rsidP="004866A6"/>
        </w:tc>
        <w:tc>
          <w:tcPr>
            <w:tcW w:w="9356" w:type="dxa"/>
          </w:tcPr>
          <w:p w14:paraId="48E8E37F" w14:textId="739C8095" w:rsidR="004866A6" w:rsidRDefault="004866A6" w:rsidP="004866A6">
            <w:r>
              <w:t xml:space="preserve">Suggest ONE of the following or a combination could be used </w:t>
            </w:r>
          </w:p>
        </w:tc>
        <w:tc>
          <w:tcPr>
            <w:tcW w:w="1239" w:type="dxa"/>
          </w:tcPr>
          <w:p w14:paraId="296C5F6C" w14:textId="77777777" w:rsidR="004866A6" w:rsidRDefault="004866A6" w:rsidP="004866A6"/>
        </w:tc>
        <w:tc>
          <w:tcPr>
            <w:tcW w:w="1254" w:type="dxa"/>
          </w:tcPr>
          <w:p w14:paraId="3A1B4A23" w14:textId="77777777" w:rsidR="004866A6" w:rsidRDefault="004866A6" w:rsidP="004866A6"/>
        </w:tc>
      </w:tr>
      <w:tr w:rsidR="004866A6" w14:paraId="5678CF4B" w14:textId="43F7E2F4" w:rsidTr="004E1224">
        <w:trPr>
          <w:trHeight w:val="1402"/>
        </w:trPr>
        <w:tc>
          <w:tcPr>
            <w:tcW w:w="2449" w:type="dxa"/>
          </w:tcPr>
          <w:p w14:paraId="31133AC0" w14:textId="170DB640" w:rsidR="004866A6" w:rsidRDefault="004866A6" w:rsidP="004866A6">
            <w:r>
              <w:t xml:space="preserve">Practising using a CDoH </w:t>
            </w:r>
            <w:proofErr w:type="gramStart"/>
            <w:r>
              <w:t>lens</w:t>
            </w:r>
            <w:proofErr w:type="gramEnd"/>
            <w:r>
              <w:t xml:space="preserve"> </w:t>
            </w:r>
          </w:p>
          <w:p w14:paraId="0BF5BA28" w14:textId="77777777" w:rsidR="004866A6" w:rsidRDefault="004866A6" w:rsidP="004866A6">
            <w:r>
              <w:t xml:space="preserve">AND </w:t>
            </w:r>
          </w:p>
          <w:p w14:paraId="4CBC1048" w14:textId="0171F5F7" w:rsidR="004866A6" w:rsidRDefault="004866A6" w:rsidP="004866A6">
            <w:r>
              <w:t>identifying possibilities for local action</w:t>
            </w:r>
          </w:p>
        </w:tc>
        <w:tc>
          <w:tcPr>
            <w:tcW w:w="554" w:type="dxa"/>
          </w:tcPr>
          <w:p w14:paraId="315A2CB1" w14:textId="3DE3E994" w:rsidR="004866A6" w:rsidRDefault="004866A6" w:rsidP="004866A6">
            <w:r>
              <w:t>5b</w:t>
            </w:r>
          </w:p>
        </w:tc>
        <w:tc>
          <w:tcPr>
            <w:tcW w:w="9356" w:type="dxa"/>
          </w:tcPr>
          <w:p w14:paraId="6A47F731" w14:textId="02E1F3FF" w:rsidR="004866A6" w:rsidRDefault="004866A6" w:rsidP="004866A6">
            <w:r>
              <w:t>P</w:t>
            </w:r>
            <w:r w:rsidRPr="005B4FC0">
              <w:t xml:space="preserve">articipants to </w:t>
            </w:r>
            <w:r>
              <w:t>be asked to share an example of something they are working on</w:t>
            </w:r>
            <w:r w:rsidRPr="005B4FC0">
              <w:t xml:space="preserve"> and then </w:t>
            </w:r>
            <w:r>
              <w:t xml:space="preserve">work in pairs / groups to </w:t>
            </w:r>
            <w:r w:rsidRPr="005B4FC0">
              <w:t xml:space="preserve">explore through CDoH lens together </w:t>
            </w:r>
            <w:r>
              <w:t xml:space="preserve">OR the local authority could pick some examples of relevant topics to be discussed in small </w:t>
            </w:r>
            <w:proofErr w:type="gramStart"/>
            <w:r>
              <w:t>groups</w:t>
            </w:r>
            <w:proofErr w:type="gramEnd"/>
            <w:r>
              <w:t xml:space="preserve"> </w:t>
            </w:r>
          </w:p>
          <w:p w14:paraId="65C977F7" w14:textId="31FFB5A2" w:rsidR="004866A6" w:rsidRDefault="004866A6" w:rsidP="004866A6">
            <w:r>
              <w:t xml:space="preserve">Participants to develop ideas together for how to address the CDoH aspects they have identified in the local example they have just discussed </w:t>
            </w:r>
          </w:p>
        </w:tc>
        <w:tc>
          <w:tcPr>
            <w:tcW w:w="1239" w:type="dxa"/>
          </w:tcPr>
          <w:p w14:paraId="7D0C2873" w14:textId="121F9E55" w:rsidR="004866A6" w:rsidRDefault="004866A6" w:rsidP="004866A6">
            <w:r>
              <w:t>20+ mins</w:t>
            </w:r>
          </w:p>
        </w:tc>
        <w:tc>
          <w:tcPr>
            <w:tcW w:w="1254" w:type="dxa"/>
          </w:tcPr>
          <w:p w14:paraId="17CA7400" w14:textId="7D67B09D" w:rsidR="004866A6" w:rsidRDefault="004866A6" w:rsidP="004866A6">
            <w:r>
              <w:t>L4, L5, L6</w:t>
            </w:r>
          </w:p>
        </w:tc>
      </w:tr>
      <w:tr w:rsidR="004866A6" w14:paraId="63888FCE" w14:textId="4CD0D0CF" w:rsidTr="004E1224">
        <w:trPr>
          <w:trHeight w:val="2826"/>
        </w:trPr>
        <w:tc>
          <w:tcPr>
            <w:tcW w:w="2449" w:type="dxa"/>
          </w:tcPr>
          <w:p w14:paraId="31ADFDB9" w14:textId="4625A4CF" w:rsidR="004866A6" w:rsidRDefault="004866A6" w:rsidP="004866A6">
            <w:r>
              <w:t xml:space="preserve">Practising using a CDoH </w:t>
            </w:r>
            <w:proofErr w:type="gramStart"/>
            <w:r>
              <w:t>lens</w:t>
            </w:r>
            <w:proofErr w:type="gramEnd"/>
            <w:r>
              <w:t xml:space="preserve"> </w:t>
            </w:r>
          </w:p>
          <w:p w14:paraId="36A3CE4D" w14:textId="74880F35" w:rsidR="004866A6" w:rsidRDefault="004866A6" w:rsidP="004866A6">
            <w:r>
              <w:t>AND</w:t>
            </w:r>
          </w:p>
          <w:p w14:paraId="2CCBF7D7" w14:textId="77777777" w:rsidR="004866A6" w:rsidRDefault="004866A6" w:rsidP="004866A6">
            <w:r>
              <w:t xml:space="preserve">identifying skills &amp; roles </w:t>
            </w:r>
          </w:p>
          <w:p w14:paraId="36C5956E" w14:textId="30A80CC1" w:rsidR="004866A6" w:rsidRDefault="004866A6" w:rsidP="004866A6">
            <w:r>
              <w:t xml:space="preserve">AND demonstrating possibilities for local action </w:t>
            </w:r>
          </w:p>
        </w:tc>
        <w:tc>
          <w:tcPr>
            <w:tcW w:w="554" w:type="dxa"/>
          </w:tcPr>
          <w:p w14:paraId="77503518" w14:textId="5C152586" w:rsidR="004866A6" w:rsidRPr="006847BC" w:rsidRDefault="004866A6" w:rsidP="004866A6">
            <w:r>
              <w:t>5c</w:t>
            </w:r>
          </w:p>
        </w:tc>
        <w:tc>
          <w:tcPr>
            <w:tcW w:w="9356" w:type="dxa"/>
            <w:shd w:val="clear" w:color="auto" w:fill="auto"/>
          </w:tcPr>
          <w:p w14:paraId="189BEC15" w14:textId="2223EAE1" w:rsidR="004866A6" w:rsidRDefault="004866A6" w:rsidP="004866A6">
            <w:r w:rsidRPr="006847BC">
              <w:t xml:space="preserve">Participants asked to </w:t>
            </w:r>
            <w:r>
              <w:t xml:space="preserve">work in groups or as a whole room to </w:t>
            </w:r>
            <w:r w:rsidRPr="006847BC">
              <w:t>deconstruct</w:t>
            </w:r>
            <w:r>
              <w:t xml:space="preserve"> a case study* of successful action to </w:t>
            </w:r>
            <w:r w:rsidRPr="00670019">
              <w:t xml:space="preserve">tackle </w:t>
            </w:r>
            <w:proofErr w:type="gramStart"/>
            <w:r w:rsidRPr="00670019">
              <w:t>CDoH</w:t>
            </w:r>
            <w:proofErr w:type="gramEnd"/>
          </w:p>
          <w:p w14:paraId="7EEE0B1C" w14:textId="032DBE13" w:rsidR="004866A6" w:rsidRDefault="004866A6" w:rsidP="004866A6">
            <w:pPr>
              <w:pStyle w:val="ListParagraph"/>
              <w:numPr>
                <w:ilvl w:val="0"/>
                <w:numId w:val="1"/>
              </w:numPr>
            </w:pPr>
            <w:r>
              <w:t xml:space="preserve">What </w:t>
            </w:r>
            <w:r w:rsidR="007A7D29">
              <w:t>commercial practices</w:t>
            </w:r>
            <w:r>
              <w:t xml:space="preserve"> can be spotted in the </w:t>
            </w:r>
            <w:proofErr w:type="gramStart"/>
            <w:r>
              <w:t>example</w:t>
            </w:r>
            <w:proofErr w:type="gramEnd"/>
            <w:r>
              <w:t xml:space="preserve"> </w:t>
            </w:r>
          </w:p>
          <w:p w14:paraId="52F0756B" w14:textId="3BBD695D" w:rsidR="004866A6" w:rsidRDefault="004866A6" w:rsidP="004866A6">
            <w:pPr>
              <w:pStyle w:val="ListParagraph"/>
              <w:numPr>
                <w:ilvl w:val="0"/>
                <w:numId w:val="1"/>
              </w:numPr>
            </w:pPr>
            <w:r>
              <w:t xml:space="preserve">What were the barriers </w:t>
            </w:r>
            <w:proofErr w:type="gramStart"/>
            <w:r>
              <w:t>faced</w:t>
            </w:r>
            <w:proofErr w:type="gramEnd"/>
          </w:p>
          <w:p w14:paraId="32DBB38B" w14:textId="79FBFC8E" w:rsidR="004866A6" w:rsidRDefault="004866A6" w:rsidP="004866A6">
            <w:pPr>
              <w:pStyle w:val="ListParagraph"/>
              <w:numPr>
                <w:ilvl w:val="0"/>
                <w:numId w:val="1"/>
              </w:numPr>
            </w:pPr>
            <w:r>
              <w:t>How were they tackled (</w:t>
            </w:r>
            <w:r w:rsidR="007A7D29">
              <w:t>commercial practices</w:t>
            </w:r>
            <w:r>
              <w:t xml:space="preserve"> and barriers)</w:t>
            </w:r>
          </w:p>
          <w:p w14:paraId="0C62F012" w14:textId="77777777" w:rsidR="004866A6" w:rsidRDefault="004866A6" w:rsidP="004866A6">
            <w:pPr>
              <w:pStyle w:val="ListParagraph"/>
              <w:numPr>
                <w:ilvl w:val="0"/>
                <w:numId w:val="1"/>
              </w:numPr>
            </w:pPr>
            <w:r>
              <w:t>What more could have been tried?</w:t>
            </w:r>
          </w:p>
          <w:p w14:paraId="79F6FA81" w14:textId="06B8E20E" w:rsidR="004866A6" w:rsidRDefault="004866A6" w:rsidP="004866A6">
            <w:pPr>
              <w:pStyle w:val="ListParagraph"/>
              <w:numPr>
                <w:ilvl w:val="0"/>
                <w:numId w:val="1"/>
              </w:numPr>
            </w:pPr>
            <w:r>
              <w:t>Who did what / what roles?</w:t>
            </w:r>
          </w:p>
          <w:p w14:paraId="5085CB03" w14:textId="3772AE73" w:rsidR="004866A6" w:rsidRDefault="004866A6" w:rsidP="004866A6">
            <w:pPr>
              <w:pStyle w:val="ListParagraph"/>
              <w:numPr>
                <w:ilvl w:val="0"/>
                <w:numId w:val="1"/>
              </w:numPr>
            </w:pPr>
            <w:r>
              <w:t xml:space="preserve">What skills were </w:t>
            </w:r>
            <w:proofErr w:type="gramStart"/>
            <w:r>
              <w:t>required</w:t>
            </w:r>
            <w:proofErr w:type="gramEnd"/>
            <w:r>
              <w:t xml:space="preserve"> </w:t>
            </w:r>
            <w:r w:rsidRPr="006847BC">
              <w:t xml:space="preserve"> </w:t>
            </w:r>
          </w:p>
          <w:p w14:paraId="550262F1" w14:textId="205351B7" w:rsidR="004866A6" w:rsidRPr="00E94B72" w:rsidRDefault="004866A6" w:rsidP="004866A6">
            <w:r>
              <w:t xml:space="preserve">The facilitators could have the Public Health Playbook / counter tactics approaches with them to assist in making suggestions for what else could have been tried </w:t>
            </w:r>
          </w:p>
        </w:tc>
        <w:tc>
          <w:tcPr>
            <w:tcW w:w="1239" w:type="dxa"/>
          </w:tcPr>
          <w:p w14:paraId="579AAA6A" w14:textId="10485361" w:rsidR="004866A6" w:rsidRDefault="004866A6" w:rsidP="004866A6">
            <w:r>
              <w:t xml:space="preserve">20+ mins </w:t>
            </w:r>
          </w:p>
        </w:tc>
        <w:tc>
          <w:tcPr>
            <w:tcW w:w="1254" w:type="dxa"/>
          </w:tcPr>
          <w:p w14:paraId="01E76082" w14:textId="689E73B5" w:rsidR="004866A6" w:rsidRDefault="004866A6" w:rsidP="004866A6">
            <w:r>
              <w:t>L1, L4, L5</w:t>
            </w:r>
            <w:r w:rsidR="00D3732C">
              <w:t>, L6</w:t>
            </w:r>
          </w:p>
        </w:tc>
      </w:tr>
      <w:tr w:rsidR="004866A6" w14:paraId="60F11A1B" w14:textId="246DFD65" w:rsidTr="004E1224">
        <w:trPr>
          <w:trHeight w:val="1987"/>
        </w:trPr>
        <w:tc>
          <w:tcPr>
            <w:tcW w:w="2449" w:type="dxa"/>
          </w:tcPr>
          <w:p w14:paraId="143A85E1" w14:textId="36D11745" w:rsidR="004866A6" w:rsidRDefault="004866A6" w:rsidP="004866A6">
            <w:r>
              <w:t xml:space="preserve">Next step planning </w:t>
            </w:r>
          </w:p>
        </w:tc>
        <w:tc>
          <w:tcPr>
            <w:tcW w:w="554" w:type="dxa"/>
          </w:tcPr>
          <w:p w14:paraId="563B4BFB" w14:textId="5D0B8659" w:rsidR="004866A6" w:rsidRDefault="004866A6" w:rsidP="004866A6">
            <w:r>
              <w:t>6a</w:t>
            </w:r>
          </w:p>
        </w:tc>
        <w:tc>
          <w:tcPr>
            <w:tcW w:w="9356" w:type="dxa"/>
          </w:tcPr>
          <w:p w14:paraId="4EAEDB6E" w14:textId="5B11D593" w:rsidR="004866A6" w:rsidRDefault="004866A6" w:rsidP="004866A6">
            <w:r>
              <w:t>An exercise in which people are supported to d</w:t>
            </w:r>
            <w:r w:rsidRPr="00856B34">
              <w:t xml:space="preserve">o next step planning: what can and will people do, including shared commitments from workshop (potentially think also about short, medium, long-term planning), think about and plan for overcoming </w:t>
            </w:r>
            <w:proofErr w:type="gramStart"/>
            <w:r w:rsidRPr="00856B34">
              <w:t>barriers</w:t>
            </w:r>
            <w:proofErr w:type="gramEnd"/>
          </w:p>
          <w:p w14:paraId="242EBE3D" w14:textId="1BF05D84" w:rsidR="00A87936" w:rsidRPr="00C63FFE" w:rsidRDefault="004866A6" w:rsidP="004866A6">
            <w:pPr>
              <w:rPr>
                <w:i/>
                <w:iCs/>
              </w:rPr>
            </w:pPr>
            <w:r w:rsidRPr="00C63FFE">
              <w:rPr>
                <w:i/>
                <w:iCs/>
              </w:rPr>
              <w:t xml:space="preserve">NOTE: this will need to be situated within the overall approach being taken by the local authority and mindful of capacity to support ongoing work – so some ideas for actions, especially group actions, could be developed </w:t>
            </w:r>
            <w:r w:rsidR="000D6630">
              <w:rPr>
                <w:i/>
                <w:iCs/>
              </w:rPr>
              <w:t xml:space="preserve">by the public health team leading the work </w:t>
            </w:r>
            <w:r w:rsidRPr="00C63FFE">
              <w:rPr>
                <w:i/>
                <w:iCs/>
              </w:rPr>
              <w:t xml:space="preserve">to ensure this is consistent with their strategic objectives for the work </w:t>
            </w:r>
          </w:p>
        </w:tc>
        <w:tc>
          <w:tcPr>
            <w:tcW w:w="1239" w:type="dxa"/>
          </w:tcPr>
          <w:p w14:paraId="3044F829" w14:textId="180BC5BE" w:rsidR="004866A6" w:rsidRDefault="004866A6" w:rsidP="004866A6">
            <w:r>
              <w:t>20</w:t>
            </w:r>
            <w:r w:rsidR="00FC0D31">
              <w:t>+</w:t>
            </w:r>
            <w:r>
              <w:t xml:space="preserve"> mins </w:t>
            </w:r>
          </w:p>
        </w:tc>
        <w:tc>
          <w:tcPr>
            <w:tcW w:w="1254" w:type="dxa"/>
          </w:tcPr>
          <w:p w14:paraId="2A9EDEF1" w14:textId="5704D553" w:rsidR="004866A6" w:rsidDel="007D3701" w:rsidRDefault="004866A6" w:rsidP="004866A6">
            <w:r>
              <w:t>L4, L5, L6</w:t>
            </w:r>
          </w:p>
        </w:tc>
      </w:tr>
      <w:tr w:rsidR="00605BBE" w14:paraId="0BB254DF" w14:textId="77777777" w:rsidTr="004E1224">
        <w:trPr>
          <w:trHeight w:val="476"/>
        </w:trPr>
        <w:tc>
          <w:tcPr>
            <w:tcW w:w="2449" w:type="dxa"/>
          </w:tcPr>
          <w:p w14:paraId="3FE48765" w14:textId="76C69720" w:rsidR="00605BBE" w:rsidRDefault="00605BBE" w:rsidP="004E1224">
            <w:r>
              <w:t>Wrap-up and next steps</w:t>
            </w:r>
          </w:p>
        </w:tc>
        <w:tc>
          <w:tcPr>
            <w:tcW w:w="554" w:type="dxa"/>
          </w:tcPr>
          <w:p w14:paraId="3D2AFE04" w14:textId="1D2FC490" w:rsidR="00605BBE" w:rsidRDefault="00605BBE" w:rsidP="004E1224">
            <w:r>
              <w:t>6b</w:t>
            </w:r>
          </w:p>
        </w:tc>
        <w:tc>
          <w:tcPr>
            <w:tcW w:w="9356" w:type="dxa"/>
          </w:tcPr>
          <w:p w14:paraId="355FAE81" w14:textId="75AC9B32" w:rsidR="00605BBE" w:rsidRDefault="00605BBE" w:rsidP="004E1224">
            <w:r>
              <w:t xml:space="preserve">A brief talk to explain what the next steps will be and how people can stay involved. </w:t>
            </w:r>
          </w:p>
        </w:tc>
        <w:tc>
          <w:tcPr>
            <w:tcW w:w="1239" w:type="dxa"/>
          </w:tcPr>
          <w:p w14:paraId="32B6568B" w14:textId="08BE7D06" w:rsidR="00605BBE" w:rsidRDefault="00605BBE" w:rsidP="004E1224">
            <w:r>
              <w:t>5-10mins</w:t>
            </w:r>
          </w:p>
        </w:tc>
        <w:tc>
          <w:tcPr>
            <w:tcW w:w="1254" w:type="dxa"/>
          </w:tcPr>
          <w:p w14:paraId="1822D782" w14:textId="372712E2" w:rsidR="00605BBE" w:rsidRDefault="00605BBE" w:rsidP="004E1224">
            <w:r>
              <w:t>L4, L5, L6</w:t>
            </w:r>
          </w:p>
        </w:tc>
      </w:tr>
    </w:tbl>
    <w:p w14:paraId="17BAEF41" w14:textId="229933F7" w:rsidR="00D30D6C" w:rsidRDefault="00D30D6C"/>
    <w:p w14:paraId="53F7B941" w14:textId="56F66FB0" w:rsidR="00C2693A" w:rsidRDefault="006847BC">
      <w:pPr>
        <w:rPr>
          <w:b/>
          <w:bCs/>
        </w:rPr>
      </w:pPr>
      <w:r>
        <w:rPr>
          <w:b/>
          <w:bCs/>
        </w:rPr>
        <w:lastRenderedPageBreak/>
        <w:t>*</w:t>
      </w:r>
      <w:r w:rsidRPr="006847BC">
        <w:rPr>
          <w:b/>
          <w:bCs/>
        </w:rPr>
        <w:t>Case studies</w:t>
      </w:r>
    </w:p>
    <w:p w14:paraId="652EDBED" w14:textId="47278462" w:rsidR="00D6601E" w:rsidRDefault="00170404" w:rsidP="00170404">
      <w:r w:rsidRPr="00D6601E">
        <w:t xml:space="preserve">While local case studies are strongly encouraged, we </w:t>
      </w:r>
      <w:r w:rsidR="000D6630">
        <w:t>have</w:t>
      </w:r>
      <w:r w:rsidR="00D6601E">
        <w:t xml:space="preserve"> </w:t>
      </w:r>
      <w:r w:rsidRPr="00D6601E">
        <w:t>provide</w:t>
      </w:r>
      <w:r w:rsidR="000D6630">
        <w:t>d</w:t>
      </w:r>
      <w:r w:rsidRPr="00D6601E">
        <w:t xml:space="preserve"> a menu of case studies from </w:t>
      </w:r>
      <w:r>
        <w:t>published literature.</w:t>
      </w:r>
      <w:r w:rsidR="00985D31">
        <w:t xml:space="preserve"> </w:t>
      </w:r>
      <w:r>
        <w:t xml:space="preserve">Case studies (either local or from the menu) may cover situations </w:t>
      </w:r>
      <w:proofErr w:type="gramStart"/>
      <w:r>
        <w:t>where</w:t>
      </w:r>
      <w:proofErr w:type="gramEnd"/>
      <w:r>
        <w:t xml:space="preserve"> </w:t>
      </w:r>
    </w:p>
    <w:p w14:paraId="18264392" w14:textId="091A66D9" w:rsidR="00D6601E" w:rsidRDefault="00170404" w:rsidP="00985D31">
      <w:pPr>
        <w:pStyle w:val="ListParagraph"/>
        <w:numPr>
          <w:ilvl w:val="0"/>
          <w:numId w:val="4"/>
        </w:numPr>
      </w:pPr>
      <w:r>
        <w:t xml:space="preserve">CDoH mechanisms can be </w:t>
      </w:r>
      <w:proofErr w:type="gramStart"/>
      <w:r>
        <w:t>spotted</w:t>
      </w:r>
      <w:proofErr w:type="gramEnd"/>
      <w:r>
        <w:t xml:space="preserve"> and interventions developed</w:t>
      </w:r>
      <w:r w:rsidR="00D6601E">
        <w:t xml:space="preserve"> (as in exercise 3b above) and/or</w:t>
      </w:r>
      <w:r>
        <w:t xml:space="preserve"> </w:t>
      </w:r>
    </w:p>
    <w:p w14:paraId="4AAB7E51" w14:textId="4495916F" w:rsidR="00D6601E" w:rsidRDefault="00170404" w:rsidP="00985D31">
      <w:pPr>
        <w:pStyle w:val="ListParagraph"/>
        <w:numPr>
          <w:ilvl w:val="0"/>
          <w:numId w:val="4"/>
        </w:numPr>
      </w:pPr>
      <w:r>
        <w:t xml:space="preserve">established methods for tackling CDoH </w:t>
      </w:r>
      <w:r w:rsidR="00D6601E">
        <w:t>have been</w:t>
      </w:r>
      <w:r>
        <w:t xml:space="preserve"> implemented in a local setting</w:t>
      </w:r>
      <w:r w:rsidR="00D6601E">
        <w:t xml:space="preserve"> (as in exercise 5c above) </w:t>
      </w:r>
      <w:r>
        <w:t xml:space="preserve"> </w:t>
      </w:r>
    </w:p>
    <w:p w14:paraId="12E80962" w14:textId="66476CA1" w:rsidR="004E1224" w:rsidRDefault="00170404" w:rsidP="00170404">
      <w:r>
        <w:t>In all cases, these should clearly pull out the impact on health and health inequalities</w:t>
      </w:r>
      <w:r w:rsidR="00D6601E">
        <w:t>. It will also be</w:t>
      </w:r>
      <w:r>
        <w:t xml:space="preserve"> important to review the examples used against the roles of the proposed participants and choose an appropriate option that ensures all participants can see themselves somewhere in the case study</w:t>
      </w:r>
      <w:r w:rsidR="004E1224">
        <w:t>.</w:t>
      </w:r>
      <w:r>
        <w:t xml:space="preserve"> </w:t>
      </w:r>
    </w:p>
    <w:p w14:paraId="66DC5B7F" w14:textId="2A5C2223" w:rsidR="004E1224" w:rsidRDefault="004E1224" w:rsidP="004E1224">
      <w:pPr>
        <w:spacing w:after="0"/>
        <w:rPr>
          <w:color w:val="70AD47" w:themeColor="accent6"/>
        </w:rPr>
      </w:pPr>
      <w:r w:rsidRPr="004E1224">
        <w:rPr>
          <w:b/>
          <w:bCs/>
          <w:noProof/>
          <w:color w:val="70AD47" w:themeColor="accent6"/>
        </w:rPr>
        <w:drawing>
          <wp:anchor distT="0" distB="0" distL="114300" distR="114300" simplePos="0" relativeHeight="251663360" behindDoc="0" locked="0" layoutInCell="1" allowOverlap="1" wp14:anchorId="5CAB2FCF" wp14:editId="2B965C01">
            <wp:simplePos x="0" y="0"/>
            <wp:positionH relativeFrom="margin">
              <wp:align>left</wp:align>
            </wp:positionH>
            <wp:positionV relativeFrom="paragraph">
              <wp:posOffset>46990</wp:posOffset>
            </wp:positionV>
            <wp:extent cx="719455" cy="719455"/>
            <wp:effectExtent l="0" t="0" r="4445" b="0"/>
            <wp:wrapSquare wrapText="bothSides"/>
            <wp:docPr id="7" name="Graphic 7"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color w:val="70AD47" w:themeColor="accent6"/>
        </w:rPr>
        <w:t xml:space="preserve">Tips from the action research trials: </w:t>
      </w:r>
    </w:p>
    <w:p w14:paraId="1150804C" w14:textId="560C2108" w:rsidR="00170404" w:rsidRPr="004E1224" w:rsidRDefault="004E1224" w:rsidP="004E1224">
      <w:pPr>
        <w:pStyle w:val="ListParagraph"/>
        <w:numPr>
          <w:ilvl w:val="0"/>
          <w:numId w:val="13"/>
        </w:numPr>
        <w:spacing w:after="0"/>
        <w:ind w:left="1701"/>
        <w:rPr>
          <w:color w:val="70AD47" w:themeColor="accent6"/>
        </w:rPr>
      </w:pPr>
      <w:r w:rsidRPr="004E1224">
        <w:rPr>
          <w:color w:val="70AD47" w:themeColor="accent6"/>
        </w:rPr>
        <w:t>Case studies should make participants feel</w:t>
      </w:r>
      <w:proofErr w:type="gramStart"/>
      <w:r w:rsidRPr="004E1224">
        <w:rPr>
          <w:color w:val="70AD47" w:themeColor="accent6"/>
        </w:rPr>
        <w:t xml:space="preserve">: </w:t>
      </w:r>
      <w:r w:rsidR="00170404" w:rsidRPr="004E1224">
        <w:rPr>
          <w:color w:val="70AD47" w:themeColor="accent6"/>
        </w:rPr>
        <w:t>”People</w:t>
      </w:r>
      <w:proofErr w:type="gramEnd"/>
      <w:r w:rsidR="00170404" w:rsidRPr="004E1224">
        <w:rPr>
          <w:color w:val="70AD47" w:themeColor="accent6"/>
        </w:rPr>
        <w:t xml:space="preserve"> like us have done achievable things that make a difference.”</w:t>
      </w:r>
    </w:p>
    <w:p w14:paraId="7FD4C031" w14:textId="19091B5D" w:rsidR="000D6630" w:rsidRPr="004E1224" w:rsidRDefault="000D6630" w:rsidP="004E1224">
      <w:pPr>
        <w:pStyle w:val="ListParagraph"/>
        <w:numPr>
          <w:ilvl w:val="0"/>
          <w:numId w:val="13"/>
        </w:numPr>
        <w:spacing w:after="0"/>
        <w:ind w:left="1701"/>
        <w:rPr>
          <w:color w:val="70AD47" w:themeColor="accent6"/>
        </w:rPr>
      </w:pPr>
      <w:r w:rsidRPr="004E1224">
        <w:rPr>
          <w:color w:val="70AD47" w:themeColor="accent6"/>
        </w:rPr>
        <w:t xml:space="preserve">Please ensure any case studies are simple enough for people to read and engage with in the time given – the ones in our pack are formatted to fit on a single page. </w:t>
      </w:r>
    </w:p>
    <w:p w14:paraId="317E310E" w14:textId="77777777" w:rsidR="004E1224" w:rsidRDefault="004E1224">
      <w:pPr>
        <w:rPr>
          <w:rStyle w:val="Hyperlink"/>
          <w:b/>
          <w:bCs/>
          <w:color w:val="auto"/>
          <w:u w:val="none"/>
        </w:rPr>
      </w:pPr>
    </w:p>
    <w:p w14:paraId="68CC22E6" w14:textId="77777777" w:rsidR="004E1224" w:rsidRDefault="004E1224">
      <w:pPr>
        <w:rPr>
          <w:rStyle w:val="Hyperlink"/>
          <w:b/>
          <w:bCs/>
          <w:color w:val="auto"/>
          <w:u w:val="none"/>
        </w:rPr>
      </w:pPr>
    </w:p>
    <w:p w14:paraId="50A78B8D" w14:textId="1182FC05" w:rsidR="000D6630" w:rsidRPr="004E1224" w:rsidRDefault="000D6630" w:rsidP="004E1224">
      <w:pPr>
        <w:pStyle w:val="Heading2"/>
      </w:pPr>
      <w:r w:rsidRPr="004E1224">
        <w:rPr>
          <w:rStyle w:val="Hyperlink"/>
          <w:color w:val="538135" w:themeColor="accent6" w:themeShade="BF"/>
          <w:u w:val="none"/>
        </w:rPr>
        <w:t xml:space="preserve">‘Stretch’ </w:t>
      </w:r>
      <w:proofErr w:type="gramStart"/>
      <w:r w:rsidRPr="004E1224">
        <w:rPr>
          <w:rStyle w:val="Hyperlink"/>
          <w:color w:val="538135" w:themeColor="accent6" w:themeShade="BF"/>
          <w:u w:val="none"/>
        </w:rPr>
        <w:t>ideas</w:t>
      </w:r>
      <w:proofErr w:type="gramEnd"/>
      <w:r w:rsidRPr="004E1224">
        <w:rPr>
          <w:rStyle w:val="Hyperlink"/>
          <w:color w:val="538135" w:themeColor="accent6" w:themeShade="BF"/>
          <w:u w:val="none"/>
        </w:rPr>
        <w:t xml:space="preserve"> </w:t>
      </w:r>
    </w:p>
    <w:p w14:paraId="347AA62B" w14:textId="7A05F2BB" w:rsidR="007C2C8E" w:rsidRDefault="007C2C8E">
      <w:r>
        <w:t>S</w:t>
      </w:r>
      <w:r w:rsidR="00985D31">
        <w:t xml:space="preserve">ome </w:t>
      </w:r>
      <w:r w:rsidR="000D6630">
        <w:t>‘</w:t>
      </w:r>
      <w:r w:rsidR="00985D31">
        <w:t>s</w:t>
      </w:r>
      <w:r>
        <w:t>tretch</w:t>
      </w:r>
      <w:r w:rsidR="000D6630">
        <w:t>’</w:t>
      </w:r>
      <w:r>
        <w:t xml:space="preserve"> ideas </w:t>
      </w:r>
      <w:r w:rsidR="000D6630">
        <w:t>(</w:t>
      </w:r>
      <w:proofErr w:type="spellStart"/>
      <w:r w:rsidR="000D6630">
        <w:t>ie</w:t>
      </w:r>
      <w:proofErr w:type="spellEnd"/>
      <w:r w:rsidR="000D6630">
        <w:t xml:space="preserve"> to stretch skills and go beyond an introductory workshop) </w:t>
      </w:r>
      <w:r w:rsidR="00985D31">
        <w:t xml:space="preserve">were developed </w:t>
      </w:r>
      <w:r>
        <w:t xml:space="preserve">that may be used </w:t>
      </w:r>
      <w:r w:rsidR="00BC52B9">
        <w:t xml:space="preserve">instead of some of the </w:t>
      </w:r>
      <w:r w:rsidR="00985D31">
        <w:t xml:space="preserve">ideas in the first table </w:t>
      </w:r>
      <w:r w:rsidR="00BC52B9">
        <w:t xml:space="preserve">if basic information has already been covered, or </w:t>
      </w:r>
      <w:r>
        <w:t>for follow up activities</w:t>
      </w:r>
      <w:r w:rsidR="000D6630">
        <w:t xml:space="preserve">. These have not been developed and tested as part of the action research but are included because they were supported as important next steps in </w:t>
      </w:r>
      <w:r w:rsidR="004E1224">
        <w:t>developing skills and understanding</w:t>
      </w:r>
      <w:r w:rsidR="000D6630">
        <w:t xml:space="preserve"> for public health teams and their colleagues. </w:t>
      </w:r>
    </w:p>
    <w:tbl>
      <w:tblPr>
        <w:tblStyle w:val="TableGrid"/>
        <w:tblW w:w="0" w:type="auto"/>
        <w:tblLook w:val="04A0" w:firstRow="1" w:lastRow="0" w:firstColumn="1" w:lastColumn="0" w:noHBand="0" w:noVBand="1"/>
      </w:tblPr>
      <w:tblGrid>
        <w:gridCol w:w="3485"/>
        <w:gridCol w:w="11819"/>
      </w:tblGrid>
      <w:tr w:rsidR="000D6630" w:rsidRPr="00D30D6C" w14:paraId="61C2F657" w14:textId="77777777" w:rsidTr="004E1224">
        <w:trPr>
          <w:tblHeader/>
        </w:trPr>
        <w:tc>
          <w:tcPr>
            <w:tcW w:w="3485" w:type="dxa"/>
          </w:tcPr>
          <w:p w14:paraId="05784AA3" w14:textId="77777777" w:rsidR="000D6630" w:rsidRPr="00D30D6C" w:rsidRDefault="000D6630" w:rsidP="009E68FE">
            <w:pPr>
              <w:rPr>
                <w:b/>
                <w:bCs/>
              </w:rPr>
            </w:pPr>
            <w:r>
              <w:rPr>
                <w:b/>
                <w:bCs/>
              </w:rPr>
              <w:t>Content</w:t>
            </w:r>
          </w:p>
        </w:tc>
        <w:tc>
          <w:tcPr>
            <w:tcW w:w="11819" w:type="dxa"/>
          </w:tcPr>
          <w:p w14:paraId="72D401B7" w14:textId="77777777" w:rsidR="000D6630" w:rsidRPr="00D30D6C" w:rsidRDefault="000D6630" w:rsidP="009E68FE">
            <w:pPr>
              <w:rPr>
                <w:b/>
                <w:bCs/>
              </w:rPr>
            </w:pPr>
            <w:r>
              <w:rPr>
                <w:b/>
                <w:bCs/>
              </w:rPr>
              <w:t xml:space="preserve">Delivery method options </w:t>
            </w:r>
          </w:p>
        </w:tc>
      </w:tr>
      <w:tr w:rsidR="000D6630" w:rsidRPr="00D30D6C" w14:paraId="6F98F56C" w14:textId="77777777" w:rsidTr="000D6630">
        <w:tc>
          <w:tcPr>
            <w:tcW w:w="3485" w:type="dxa"/>
          </w:tcPr>
          <w:p w14:paraId="0F02C695" w14:textId="3EFC5F5A" w:rsidR="000D6630" w:rsidRDefault="000D6630" w:rsidP="009E68FE">
            <w:pPr>
              <w:rPr>
                <w:b/>
                <w:bCs/>
              </w:rPr>
            </w:pPr>
            <w:r>
              <w:t>Framing &amp; articulating CDoH to different stakeholders</w:t>
            </w:r>
          </w:p>
        </w:tc>
        <w:tc>
          <w:tcPr>
            <w:tcW w:w="11819" w:type="dxa"/>
          </w:tcPr>
          <w:p w14:paraId="788906D6" w14:textId="209B9448" w:rsidR="000D6630" w:rsidRPr="00BC52B9" w:rsidRDefault="000D6630" w:rsidP="009E68FE">
            <w:r w:rsidRPr="00BC52B9">
              <w:t xml:space="preserve">Using </w:t>
            </w:r>
            <w:r>
              <w:t xml:space="preserve">Frameworks Institute and VicHealth’s Healthy Persuasion work, present key issues around framing, importance of framing and how industry influences it and then practise developing frames for specific issues – could be a follow on from one of the case studies above </w:t>
            </w:r>
          </w:p>
        </w:tc>
      </w:tr>
      <w:tr w:rsidR="000D6630" w:rsidRPr="009C2FBE" w14:paraId="5D3F30E4" w14:textId="77777777" w:rsidTr="000D6630">
        <w:tc>
          <w:tcPr>
            <w:tcW w:w="3485" w:type="dxa"/>
          </w:tcPr>
          <w:p w14:paraId="0F715E4C" w14:textId="2459C95D" w:rsidR="000D6630" w:rsidRPr="009C2FBE" w:rsidRDefault="000D6630" w:rsidP="009E68FE">
            <w:r>
              <w:t>Understanding how industry influences research</w:t>
            </w:r>
          </w:p>
        </w:tc>
        <w:tc>
          <w:tcPr>
            <w:tcW w:w="11819" w:type="dxa"/>
          </w:tcPr>
          <w:p w14:paraId="1B20B333" w14:textId="4D8C95C1" w:rsidR="000D6630" w:rsidRDefault="000D6630" w:rsidP="00767D0E">
            <w:r>
              <w:t xml:space="preserve">Examples of this could </w:t>
            </w:r>
            <w:proofErr w:type="gramStart"/>
            <w:r>
              <w:t>include:</w:t>
            </w:r>
            <w:proofErr w:type="gramEnd"/>
            <w:r>
              <w:t xml:space="preserve"> have a look at the results section of this paper </w:t>
            </w:r>
            <w:hyperlink r:id="rId15" w:history="1">
              <w:r w:rsidRPr="006617FC">
                <w:rPr>
                  <w:rStyle w:val="Hyperlink"/>
                </w:rPr>
                <w:t>https://www.ncbi.nlm.nih.gov/pmc/articles/PMC6187765/</w:t>
              </w:r>
            </w:hyperlink>
            <w:r>
              <w:t xml:space="preserve"> </w:t>
            </w:r>
            <w:r w:rsidRPr="0082260A">
              <w:t xml:space="preserve"> </w:t>
            </w:r>
          </w:p>
          <w:p w14:paraId="0B3B324D" w14:textId="4CE35FFE" w:rsidR="000D6630" w:rsidRPr="009C2FBE" w:rsidRDefault="000D6630" w:rsidP="009E68FE">
            <w:r>
              <w:t xml:space="preserve">It describes how industry sponsored conferences are used by harmful industries. Have a look at conferences by industry funded organisations (e.g. Drinkaware, </w:t>
            </w:r>
            <w:proofErr w:type="spellStart"/>
            <w:r>
              <w:t>Gambleaware</w:t>
            </w:r>
            <w:proofErr w:type="spellEnd"/>
            <w:r>
              <w:t>). Does the content reflect industry strategies?</w:t>
            </w:r>
          </w:p>
        </w:tc>
      </w:tr>
      <w:tr w:rsidR="000D6630" w:rsidRPr="009C2FBE" w14:paraId="6E598BEF" w14:textId="77777777" w:rsidTr="000D6630">
        <w:tc>
          <w:tcPr>
            <w:tcW w:w="3485" w:type="dxa"/>
          </w:tcPr>
          <w:p w14:paraId="3F23D792" w14:textId="5F0D82A4" w:rsidR="000D6630" w:rsidRDefault="000D6630" w:rsidP="009E68FE">
            <w:r>
              <w:t>Practising critical appraisal skills</w:t>
            </w:r>
          </w:p>
        </w:tc>
        <w:tc>
          <w:tcPr>
            <w:tcW w:w="11819" w:type="dxa"/>
          </w:tcPr>
          <w:p w14:paraId="5B549C99" w14:textId="77777777" w:rsidR="000D6630" w:rsidRDefault="003D2B6A" w:rsidP="009E68FE">
            <w:r>
              <w:t xml:space="preserve">Assessing some of the relevant factors in this guide to CDoH systematic reviews </w:t>
            </w:r>
            <w:hyperlink r:id="rId16" w:history="1">
              <w:r w:rsidRPr="00965D6D">
                <w:rPr>
                  <w:rStyle w:val="Hyperlink"/>
                </w:rPr>
                <w:t>https://systematicreviewsjournal.biomedcentral.com/articles/10.1186/s13643-023-02323-0</w:t>
              </w:r>
            </w:hyperlink>
            <w:r>
              <w:t xml:space="preserve"> </w:t>
            </w:r>
          </w:p>
          <w:p w14:paraId="5D11CAA3" w14:textId="2B45EAE0" w:rsidR="003D2B6A" w:rsidRPr="009C2FBE" w:rsidRDefault="003D2B6A" w:rsidP="009E68FE">
            <w:r>
              <w:t xml:space="preserve">Using the ‘critical thinking detectives’ film and then practising on some example articles or pieces of information </w:t>
            </w:r>
            <w:hyperlink r:id="rId17" w:history="1">
              <w:r w:rsidRPr="00965D6D">
                <w:rPr>
                  <w:rStyle w:val="Hyperlink"/>
                </w:rPr>
                <w:t>https://www.youtube.com/watch?v=R-gUBzPa28U</w:t>
              </w:r>
            </w:hyperlink>
            <w:r>
              <w:t xml:space="preserve"> </w:t>
            </w:r>
          </w:p>
        </w:tc>
      </w:tr>
      <w:tr w:rsidR="000D6630" w:rsidRPr="009C2FBE" w14:paraId="124A9B3B" w14:textId="77777777" w:rsidTr="000D6630">
        <w:tc>
          <w:tcPr>
            <w:tcW w:w="3485" w:type="dxa"/>
          </w:tcPr>
          <w:p w14:paraId="44F1E118" w14:textId="50F3F907" w:rsidR="000D6630" w:rsidRDefault="000D6630" w:rsidP="009E68FE">
            <w:r>
              <w:lastRenderedPageBreak/>
              <w:t xml:space="preserve">How to spot </w:t>
            </w:r>
            <w:r w:rsidR="0031460C">
              <w:t>commercial practices</w:t>
            </w:r>
          </w:p>
        </w:tc>
        <w:tc>
          <w:tcPr>
            <w:tcW w:w="11819" w:type="dxa"/>
          </w:tcPr>
          <w:p w14:paraId="0E552E23" w14:textId="1547DBF1" w:rsidR="000D6630" w:rsidRPr="009C2FBE" w:rsidRDefault="000D6630" w:rsidP="009E68FE">
            <w:r>
              <w:t>Present some of the research and films made about them on industry funded education</w:t>
            </w:r>
            <w:r w:rsidR="0031460C">
              <w:t xml:space="preserve"> and examples of industry </w:t>
            </w:r>
            <w:r>
              <w:t>partnerships</w:t>
            </w:r>
            <w:r w:rsidR="0031460C">
              <w:t>. Use the evidence quest handout (or i-MARK toolkit has some great suggestions for how to spot commercial practices</w:t>
            </w:r>
            <w:proofErr w:type="gramStart"/>
            <w:r w:rsidR="0031460C">
              <w:t xml:space="preserve">), </w:t>
            </w:r>
            <w:r>
              <w:t xml:space="preserve"> and</w:t>
            </w:r>
            <w:proofErr w:type="gramEnd"/>
            <w:r>
              <w:t xml:space="preserve"> practise using these on case studies </w:t>
            </w:r>
          </w:p>
        </w:tc>
      </w:tr>
      <w:tr w:rsidR="0031460C" w:rsidRPr="009C2FBE" w14:paraId="02E8B16A" w14:textId="77777777" w:rsidTr="000D6630">
        <w:tc>
          <w:tcPr>
            <w:tcW w:w="3485" w:type="dxa"/>
          </w:tcPr>
          <w:p w14:paraId="0B243DA4" w14:textId="58FB3A77" w:rsidR="0031460C" w:rsidRDefault="0031460C" w:rsidP="009E68FE">
            <w:r>
              <w:t xml:space="preserve">Alternative causation arguments </w:t>
            </w:r>
          </w:p>
        </w:tc>
        <w:tc>
          <w:tcPr>
            <w:tcW w:w="11819" w:type="dxa"/>
          </w:tcPr>
          <w:p w14:paraId="085D6B43" w14:textId="0BBF8AD4" w:rsidR="0031460C" w:rsidRDefault="00814A16" w:rsidP="009E68FE">
            <w:r>
              <w:t>Print off some of the</w:t>
            </w:r>
            <w:r w:rsidR="0031460C">
              <w:t xml:space="preserve"> articles referred to in the supplementary material of this article and </w:t>
            </w:r>
            <w:r>
              <w:t>identify the use of ‘alternative causation’</w:t>
            </w:r>
            <w:r w:rsidR="0031460C">
              <w:t xml:space="preserve">: </w:t>
            </w:r>
            <w:hyperlink r:id="rId18" w:history="1">
              <w:r w:rsidR="0031460C">
                <w:rPr>
                  <w:rStyle w:val="Hyperlink"/>
                </w:rPr>
                <w:t>https://www.sciencedirect.com/science/article/pii/S2352827321002846?via%3Dihub</w:t>
              </w:r>
            </w:hyperlink>
          </w:p>
        </w:tc>
      </w:tr>
      <w:tr w:rsidR="000D6630" w:rsidRPr="009C2FBE" w14:paraId="7FF2155D" w14:textId="77777777" w:rsidTr="000D6630">
        <w:tc>
          <w:tcPr>
            <w:tcW w:w="3485" w:type="dxa"/>
          </w:tcPr>
          <w:p w14:paraId="0B1FF7FC" w14:textId="4DE995DC" w:rsidR="000D6630" w:rsidRDefault="000D6630" w:rsidP="009E68FE">
            <w:r>
              <w:t xml:space="preserve">Practising communication skills </w:t>
            </w:r>
          </w:p>
        </w:tc>
        <w:tc>
          <w:tcPr>
            <w:tcW w:w="11819" w:type="dxa"/>
          </w:tcPr>
          <w:p w14:paraId="6479322C" w14:textId="0020A574" w:rsidR="000D6630" w:rsidRPr="009C2FBE" w:rsidRDefault="000D6630" w:rsidP="009E68FE">
            <w:r>
              <w:t>E</w:t>
            </w:r>
            <w:r w:rsidRPr="006847BC">
              <w:t>levator pitching/briefing conversations/making the argument in different scenarios</w:t>
            </w:r>
            <w:r>
              <w:t xml:space="preserve">, practising media interviews </w:t>
            </w:r>
          </w:p>
        </w:tc>
      </w:tr>
      <w:tr w:rsidR="000D6630" w:rsidRPr="009C2FBE" w14:paraId="72B31054" w14:textId="77777777" w:rsidTr="000D6630">
        <w:tc>
          <w:tcPr>
            <w:tcW w:w="3485" w:type="dxa"/>
          </w:tcPr>
          <w:p w14:paraId="24D63246" w14:textId="2CD5318C" w:rsidR="000D6630" w:rsidRDefault="0031460C" w:rsidP="009E68FE">
            <w:r>
              <w:t>Practising risk assessment of situations in which potential conflicting interests arise</w:t>
            </w:r>
          </w:p>
        </w:tc>
        <w:tc>
          <w:tcPr>
            <w:tcW w:w="11819" w:type="dxa"/>
          </w:tcPr>
          <w:p w14:paraId="48535D6A" w14:textId="0CB599BD" w:rsidR="000D6630" w:rsidRPr="009C2FBE" w:rsidRDefault="0031460C" w:rsidP="009E68FE">
            <w:r>
              <w:t xml:space="preserve">Make use of good governance toolkit risk assessment process </w:t>
            </w:r>
            <w:hyperlink r:id="rId19" w:history="1">
              <w:r w:rsidR="00B176DF" w:rsidRPr="001653D7">
                <w:rPr>
                  <w:rStyle w:val="Hyperlink"/>
                </w:rPr>
                <w:t>https://www.adph.org.uk/resources/good-governance-toolkit/</w:t>
              </w:r>
            </w:hyperlink>
            <w:r w:rsidR="00B176DF">
              <w:t xml:space="preserve"> </w:t>
            </w:r>
            <w:r>
              <w:t xml:space="preserve">to practise reviewing tricky issues that your team have been confronted with. Consider </w:t>
            </w:r>
            <w:r w:rsidRPr="0031460C">
              <w:t xml:space="preserve">how this would need to be negotiated in practice (to be able to act on it, </w:t>
            </w:r>
            <w:r>
              <w:t xml:space="preserve">for example </w:t>
            </w:r>
            <w:r w:rsidRPr="0031460C">
              <w:t>who makes the decisions</w:t>
            </w:r>
            <w:r>
              <w:t>?</w:t>
            </w:r>
            <w:r w:rsidRPr="0031460C">
              <w:t xml:space="preserve">) </w:t>
            </w:r>
            <w:r>
              <w:t xml:space="preserve">to develop </w:t>
            </w:r>
            <w:r w:rsidRPr="0031460C">
              <w:t>practical tips and ideas from discussion in a safe space</w:t>
            </w:r>
            <w:r>
              <w:t xml:space="preserve">. </w:t>
            </w:r>
          </w:p>
        </w:tc>
      </w:tr>
    </w:tbl>
    <w:p w14:paraId="3C578AE5" w14:textId="72E2C706" w:rsidR="007C2C8E" w:rsidRDefault="007C2C8E"/>
    <w:p w14:paraId="32B8842E" w14:textId="77777777" w:rsidR="000D6630" w:rsidRDefault="000D6630"/>
    <w:sectPr w:rsidR="000D6630" w:rsidSect="00E71191">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43AD" w14:textId="77777777" w:rsidR="00E71191" w:rsidRDefault="00E71191" w:rsidP="00A4224A">
      <w:pPr>
        <w:spacing w:after="0" w:line="240" w:lineRule="auto"/>
      </w:pPr>
      <w:r>
        <w:separator/>
      </w:r>
    </w:p>
  </w:endnote>
  <w:endnote w:type="continuationSeparator" w:id="0">
    <w:p w14:paraId="4CAD910E" w14:textId="77777777" w:rsidR="00E71191" w:rsidRDefault="00E71191" w:rsidP="00A4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calaLancetPro">
    <w:altName w:val="ScalaLancet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9637" w14:textId="1CE4CFD8" w:rsidR="00A4224A" w:rsidRDefault="00A4224A">
    <w:pPr>
      <w:pStyle w:val="Footer"/>
    </w:pPr>
    <w:r>
      <w:rPr>
        <w:noProof/>
      </w:rPr>
      <mc:AlternateContent>
        <mc:Choice Requires="wps">
          <w:drawing>
            <wp:anchor distT="0" distB="0" distL="114300" distR="114300" simplePos="0" relativeHeight="251659264" behindDoc="0" locked="0" layoutInCell="1" allowOverlap="1" wp14:anchorId="193A1AB6" wp14:editId="226A4AE3">
              <wp:simplePos x="0" y="0"/>
              <wp:positionH relativeFrom="page">
                <wp:posOffset>6985</wp:posOffset>
              </wp:positionH>
              <wp:positionV relativeFrom="paragraph">
                <wp:posOffset>-9525</wp:posOffset>
              </wp:positionV>
              <wp:extent cx="7534275" cy="619125"/>
              <wp:effectExtent l="0" t="0" r="9525" b="9525"/>
              <wp:wrapNone/>
              <wp:docPr id="9" name="Rectangle 9"/>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1BB0FE" w14:textId="77777777" w:rsidR="00A4224A" w:rsidRPr="008260BB" w:rsidRDefault="00A4224A" w:rsidP="00A4224A">
                          <w:pPr>
                            <w:jc w:val="right"/>
                            <w:rPr>
                              <w:color w:val="538135" w:themeColor="accent6" w:themeShade="BF"/>
                            </w:rPr>
                          </w:pPr>
                          <w:bookmarkStart w:id="0" w:name="_Hlk161151532"/>
                          <w:bookmarkStart w:id="1" w:name="_Hlk161151533"/>
                          <w:r w:rsidRPr="008260BB">
                            <w:rPr>
                              <w:color w:val="538135" w:themeColor="accent6" w:themeShade="BF"/>
                            </w:rPr>
                            <w:t xml:space="preserve">This document is part of CDoH Essentials (2024) Brook et </w:t>
                          </w:r>
                          <w:proofErr w:type="gramStart"/>
                          <w:r w:rsidRPr="008260BB">
                            <w:rPr>
                              <w:color w:val="538135" w:themeColor="accent6" w:themeShade="BF"/>
                            </w:rPr>
                            <w:t>al</w:t>
                          </w:r>
                          <w:bookmarkEnd w:id="0"/>
                          <w:bookmarkEnd w:id="1"/>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A1AB6" id="Rectangle 9" o:spid="_x0000_s1026" style="position:absolute;margin-left:.55pt;margin-top:-.75pt;width:593.25pt;height:48.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" fillcolor="#e2efd9 [665]" stroked="f" strokeweight="1pt">
              <v:textbox>
                <w:txbxContent>
                  <w:p w14:paraId="2D1BB0FE" w14:textId="77777777" w:rsidR="00A4224A" w:rsidRPr="008260BB" w:rsidRDefault="00A4224A" w:rsidP="00A4224A">
                    <w:pPr>
                      <w:jc w:val="right"/>
                      <w:rPr>
                        <w:color w:val="538135" w:themeColor="accent6" w:themeShade="BF"/>
                      </w:rPr>
                    </w:pPr>
                    <w:bookmarkStart w:id="2" w:name="_Hlk161151532"/>
                    <w:bookmarkStart w:id="3" w:name="_Hlk161151533"/>
                    <w:r w:rsidRPr="008260BB">
                      <w:rPr>
                        <w:color w:val="538135" w:themeColor="accent6" w:themeShade="BF"/>
                      </w:rPr>
                      <w:t>This document is part of CDoH Essentials (2024) Brook et al</w:t>
                    </w:r>
                    <w:bookmarkEnd w:id="2"/>
                    <w:bookmarkEnd w:id="3"/>
                  </w:p>
                </w:txbxContent>
              </v:textbox>
              <w10:wrap anchorx="page"/>
            </v:rect>
          </w:pict>
        </mc:Fallback>
      </mc:AlternateContent>
    </w:r>
    <w:r>
      <w:rPr>
        <w:noProof/>
      </w:rPr>
      <w:drawing>
        <wp:anchor distT="0" distB="0" distL="114300" distR="114300" simplePos="0" relativeHeight="251661312" behindDoc="0" locked="0" layoutInCell="1" allowOverlap="1" wp14:anchorId="7C94EAA3" wp14:editId="77F5A479">
          <wp:simplePos x="0" y="0"/>
          <wp:positionH relativeFrom="margin">
            <wp:posOffset>-208915</wp:posOffset>
          </wp:positionH>
          <wp:positionV relativeFrom="paragraph">
            <wp:posOffset>132715</wp:posOffset>
          </wp:positionV>
          <wp:extent cx="466725" cy="466725"/>
          <wp:effectExtent l="0" t="0" r="0" b="9525"/>
          <wp:wrapNone/>
          <wp:docPr id="3" name="Graphic 3"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1B754A9" wp14:editId="11064E8A">
          <wp:simplePos x="0" y="0"/>
          <wp:positionH relativeFrom="margin">
            <wp:posOffset>-399415</wp:posOffset>
          </wp:positionH>
          <wp:positionV relativeFrom="paragraph">
            <wp:posOffset>-9525</wp:posOffset>
          </wp:positionV>
          <wp:extent cx="457200" cy="457200"/>
          <wp:effectExtent l="0" t="0" r="0" b="0"/>
          <wp:wrapNone/>
          <wp:docPr id="10" name="Graphic 10"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4122" w14:textId="15F45F9C" w:rsidR="00A4224A" w:rsidRDefault="00A4224A">
    <w:pPr>
      <w:pStyle w:val="Footer"/>
    </w:pPr>
    <w:r>
      <w:rPr>
        <w:noProof/>
      </w:rPr>
      <mc:AlternateContent>
        <mc:Choice Requires="wps">
          <w:drawing>
            <wp:anchor distT="0" distB="0" distL="114300" distR="114300" simplePos="0" relativeHeight="251663360" behindDoc="0" locked="0" layoutInCell="1" allowOverlap="1" wp14:anchorId="5B289ACE" wp14:editId="717ACFBA">
              <wp:simplePos x="0" y="0"/>
              <wp:positionH relativeFrom="page">
                <wp:align>right</wp:align>
              </wp:positionH>
              <wp:positionV relativeFrom="paragraph">
                <wp:posOffset>3810</wp:posOffset>
              </wp:positionV>
              <wp:extent cx="1067752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67752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5B5860" w14:textId="77777777" w:rsidR="00A4224A" w:rsidRPr="008260BB" w:rsidRDefault="00A4224A" w:rsidP="00A4224A">
                          <w:pPr>
                            <w:jc w:val="right"/>
                            <w:rPr>
                              <w:color w:val="538135" w:themeColor="accent6" w:themeShade="BF"/>
                            </w:rPr>
                          </w:pPr>
                          <w:r w:rsidRPr="008260BB">
                            <w:rPr>
                              <w:color w:val="538135" w:themeColor="accent6" w:themeShade="BF"/>
                            </w:rPr>
                            <w:t xml:space="preserve">This document is part of CDoH Essentials (2024) Brook et </w:t>
                          </w:r>
                          <w:proofErr w:type="gramStart"/>
                          <w:r w:rsidRPr="008260BB">
                            <w:rPr>
                              <w:color w:val="538135" w:themeColor="accent6" w:themeShade="BF"/>
                            </w:rPr>
                            <w:t>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9ACE" id="Rectangle 2" o:spid="_x0000_s1027" style="position:absolute;margin-left:789.55pt;margin-top:.3pt;width:840.75pt;height:48.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" fillcolor="#e2efd9 [665]" stroked="f" strokeweight="1pt">
              <v:textbox>
                <w:txbxContent>
                  <w:p w14:paraId="075B5860" w14:textId="77777777" w:rsidR="00A4224A" w:rsidRPr="008260BB" w:rsidRDefault="00A4224A" w:rsidP="00A4224A">
                    <w:pPr>
                      <w:jc w:val="right"/>
                      <w:rPr>
                        <w:color w:val="538135" w:themeColor="accent6" w:themeShade="BF"/>
                      </w:rPr>
                    </w:pPr>
                    <w:r w:rsidRPr="008260BB">
                      <w:rPr>
                        <w:color w:val="538135" w:themeColor="accent6" w:themeShade="BF"/>
                      </w:rPr>
                      <w:t>This document is part of CDoH Essentials (2024) Brook et al</w:t>
                    </w:r>
                  </w:p>
                </w:txbxContent>
              </v:textbox>
              <w10:wrap anchorx="page"/>
            </v:rect>
          </w:pict>
        </mc:Fallback>
      </mc:AlternateContent>
    </w:r>
    <w:r>
      <w:rPr>
        <w:noProof/>
      </w:rPr>
      <w:drawing>
        <wp:anchor distT="0" distB="0" distL="114300" distR="114300" simplePos="0" relativeHeight="251664384" behindDoc="0" locked="0" layoutInCell="1" allowOverlap="1" wp14:anchorId="69954466" wp14:editId="040D6146">
          <wp:simplePos x="0" y="0"/>
          <wp:positionH relativeFrom="margin">
            <wp:posOffset>-323215</wp:posOffset>
          </wp:positionH>
          <wp:positionV relativeFrom="paragraph">
            <wp:posOffset>19050</wp:posOffset>
          </wp:positionV>
          <wp:extent cx="457200" cy="457200"/>
          <wp:effectExtent l="0" t="0" r="0" b="0"/>
          <wp:wrapNone/>
          <wp:docPr id="4" name="Graphic 4"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81052E5" wp14:editId="1D42082F">
          <wp:simplePos x="0" y="0"/>
          <wp:positionH relativeFrom="margin">
            <wp:posOffset>-132715</wp:posOffset>
          </wp:positionH>
          <wp:positionV relativeFrom="paragraph">
            <wp:posOffset>161290</wp:posOffset>
          </wp:positionV>
          <wp:extent cx="466725" cy="466725"/>
          <wp:effectExtent l="0" t="0" r="0" b="9525"/>
          <wp:wrapNone/>
          <wp:docPr id="5" name="Graphic 5"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766E" w14:textId="77777777" w:rsidR="00E71191" w:rsidRDefault="00E71191" w:rsidP="00A4224A">
      <w:pPr>
        <w:spacing w:after="0" w:line="240" w:lineRule="auto"/>
      </w:pPr>
      <w:r>
        <w:separator/>
      </w:r>
    </w:p>
  </w:footnote>
  <w:footnote w:type="continuationSeparator" w:id="0">
    <w:p w14:paraId="78BA6609" w14:textId="77777777" w:rsidR="00E71191" w:rsidRDefault="00E71191" w:rsidP="00A4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098"/>
    <w:multiLevelType w:val="hybridMultilevel"/>
    <w:tmpl w:val="8788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2A6B"/>
    <w:multiLevelType w:val="hybridMultilevel"/>
    <w:tmpl w:val="04D2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B13E5"/>
    <w:multiLevelType w:val="hybridMultilevel"/>
    <w:tmpl w:val="ED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F0A51"/>
    <w:multiLevelType w:val="hybridMultilevel"/>
    <w:tmpl w:val="01EAB9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280A57"/>
    <w:multiLevelType w:val="hybridMultilevel"/>
    <w:tmpl w:val="23B6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97E00"/>
    <w:multiLevelType w:val="hybridMultilevel"/>
    <w:tmpl w:val="35FA0318"/>
    <w:lvl w:ilvl="0" w:tplc="46742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557CF"/>
    <w:multiLevelType w:val="hybridMultilevel"/>
    <w:tmpl w:val="F886E11C"/>
    <w:lvl w:ilvl="0" w:tplc="E4A641F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B79E1"/>
    <w:multiLevelType w:val="hybridMultilevel"/>
    <w:tmpl w:val="F28C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65C63"/>
    <w:multiLevelType w:val="hybridMultilevel"/>
    <w:tmpl w:val="4E1CED64"/>
    <w:lvl w:ilvl="0" w:tplc="88FEE5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14C96"/>
    <w:multiLevelType w:val="hybridMultilevel"/>
    <w:tmpl w:val="DB6E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753101"/>
    <w:multiLevelType w:val="hybridMultilevel"/>
    <w:tmpl w:val="AE660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F6A50"/>
    <w:multiLevelType w:val="hybridMultilevel"/>
    <w:tmpl w:val="7D9C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C6451"/>
    <w:multiLevelType w:val="hybridMultilevel"/>
    <w:tmpl w:val="83AE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A363D"/>
    <w:multiLevelType w:val="hybridMultilevel"/>
    <w:tmpl w:val="76007396"/>
    <w:lvl w:ilvl="0" w:tplc="94BC932C">
      <w:start w:val="1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400205">
    <w:abstractNumId w:val="8"/>
  </w:num>
  <w:num w:numId="2" w16cid:durableId="1596279446">
    <w:abstractNumId w:val="6"/>
  </w:num>
  <w:num w:numId="3" w16cid:durableId="1934169400">
    <w:abstractNumId w:val="13"/>
  </w:num>
  <w:num w:numId="4" w16cid:durableId="1187787608">
    <w:abstractNumId w:val="12"/>
  </w:num>
  <w:num w:numId="5" w16cid:durableId="511382736">
    <w:abstractNumId w:val="5"/>
  </w:num>
  <w:num w:numId="6" w16cid:durableId="2146778545">
    <w:abstractNumId w:val="3"/>
  </w:num>
  <w:num w:numId="7" w16cid:durableId="1015615101">
    <w:abstractNumId w:val="2"/>
  </w:num>
  <w:num w:numId="8" w16cid:durableId="1498617805">
    <w:abstractNumId w:val="10"/>
  </w:num>
  <w:num w:numId="9" w16cid:durableId="116603402">
    <w:abstractNumId w:val="4"/>
  </w:num>
  <w:num w:numId="10" w16cid:durableId="393354697">
    <w:abstractNumId w:val="11"/>
  </w:num>
  <w:num w:numId="11" w16cid:durableId="1210726940">
    <w:abstractNumId w:val="0"/>
  </w:num>
  <w:num w:numId="12" w16cid:durableId="430248759">
    <w:abstractNumId w:val="7"/>
  </w:num>
  <w:num w:numId="13" w16cid:durableId="524909018">
    <w:abstractNumId w:val="9"/>
  </w:num>
  <w:num w:numId="14" w16cid:durableId="874076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6C"/>
    <w:rsid w:val="00036F60"/>
    <w:rsid w:val="000D2CDB"/>
    <w:rsid w:val="000D6630"/>
    <w:rsid w:val="00170404"/>
    <w:rsid w:val="001F3EA3"/>
    <w:rsid w:val="00213A55"/>
    <w:rsid w:val="00254B87"/>
    <w:rsid w:val="00282C7A"/>
    <w:rsid w:val="002F03F8"/>
    <w:rsid w:val="00303551"/>
    <w:rsid w:val="0031460C"/>
    <w:rsid w:val="00356316"/>
    <w:rsid w:val="003D2B6A"/>
    <w:rsid w:val="003E1340"/>
    <w:rsid w:val="003E7383"/>
    <w:rsid w:val="004866A6"/>
    <w:rsid w:val="0049244A"/>
    <w:rsid w:val="004E1224"/>
    <w:rsid w:val="00510F69"/>
    <w:rsid w:val="00586384"/>
    <w:rsid w:val="005B4FC0"/>
    <w:rsid w:val="005E1B90"/>
    <w:rsid w:val="005F2E0F"/>
    <w:rsid w:val="005F5C2D"/>
    <w:rsid w:val="00605BBE"/>
    <w:rsid w:val="00611627"/>
    <w:rsid w:val="00625382"/>
    <w:rsid w:val="00670019"/>
    <w:rsid w:val="00671FBA"/>
    <w:rsid w:val="006847BC"/>
    <w:rsid w:val="00727B6E"/>
    <w:rsid w:val="0076524F"/>
    <w:rsid w:val="00767D0E"/>
    <w:rsid w:val="007A7D29"/>
    <w:rsid w:val="007C2C8E"/>
    <w:rsid w:val="007C6097"/>
    <w:rsid w:val="007D3701"/>
    <w:rsid w:val="00814A16"/>
    <w:rsid w:val="0082629A"/>
    <w:rsid w:val="00856B34"/>
    <w:rsid w:val="008A4842"/>
    <w:rsid w:val="008D5006"/>
    <w:rsid w:val="00912C13"/>
    <w:rsid w:val="0096030B"/>
    <w:rsid w:val="00970AFE"/>
    <w:rsid w:val="00976E2F"/>
    <w:rsid w:val="00985D31"/>
    <w:rsid w:val="009C2FBE"/>
    <w:rsid w:val="009C7F58"/>
    <w:rsid w:val="009E7D3C"/>
    <w:rsid w:val="00A04DB1"/>
    <w:rsid w:val="00A2750A"/>
    <w:rsid w:val="00A4224A"/>
    <w:rsid w:val="00A525C8"/>
    <w:rsid w:val="00A712CC"/>
    <w:rsid w:val="00A75A43"/>
    <w:rsid w:val="00A87936"/>
    <w:rsid w:val="00A94099"/>
    <w:rsid w:val="00AE7294"/>
    <w:rsid w:val="00B176DF"/>
    <w:rsid w:val="00B33279"/>
    <w:rsid w:val="00B634B2"/>
    <w:rsid w:val="00BC52B9"/>
    <w:rsid w:val="00BE2C2D"/>
    <w:rsid w:val="00C2693A"/>
    <w:rsid w:val="00C442F5"/>
    <w:rsid w:val="00C63FFE"/>
    <w:rsid w:val="00D30D6C"/>
    <w:rsid w:val="00D3732C"/>
    <w:rsid w:val="00D6601E"/>
    <w:rsid w:val="00D865B0"/>
    <w:rsid w:val="00E24B5D"/>
    <w:rsid w:val="00E344FC"/>
    <w:rsid w:val="00E71191"/>
    <w:rsid w:val="00E73CD3"/>
    <w:rsid w:val="00E917B0"/>
    <w:rsid w:val="00E94B72"/>
    <w:rsid w:val="00E97DD9"/>
    <w:rsid w:val="00F00266"/>
    <w:rsid w:val="00F20274"/>
    <w:rsid w:val="00F77E6F"/>
    <w:rsid w:val="00FA6EC5"/>
    <w:rsid w:val="00FC0D31"/>
    <w:rsid w:val="00FE0C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EBAB"/>
  <w15:chartTrackingRefBased/>
  <w15:docId w15:val="{0E63BB8A-66B8-4647-A635-54D29FE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224A"/>
    <w:pPr>
      <w:keepNext/>
      <w:keepLines/>
      <w:spacing w:before="40" w:after="0"/>
      <w:outlineLvl w:val="1"/>
    </w:pPr>
    <w:rPr>
      <w:rFonts w:eastAsiaTheme="majorEastAsia" w:cstheme="minorHAnsi"/>
      <w:b/>
      <w:bCs/>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D6C"/>
    <w:pPr>
      <w:ind w:left="720"/>
      <w:contextualSpacing/>
    </w:pPr>
  </w:style>
  <w:style w:type="character" w:customStyle="1" w:styleId="Heading1Char">
    <w:name w:val="Heading 1 Char"/>
    <w:basedOn w:val="DefaultParagraphFont"/>
    <w:link w:val="Heading1"/>
    <w:uiPriority w:val="9"/>
    <w:rsid w:val="00D30D6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75A43"/>
    <w:rPr>
      <w:color w:val="0563C1" w:themeColor="hyperlink"/>
      <w:u w:val="single"/>
    </w:rPr>
  </w:style>
  <w:style w:type="character" w:styleId="UnresolvedMention">
    <w:name w:val="Unresolved Mention"/>
    <w:basedOn w:val="DefaultParagraphFont"/>
    <w:uiPriority w:val="99"/>
    <w:semiHidden/>
    <w:unhideWhenUsed/>
    <w:rsid w:val="00A75A43"/>
    <w:rPr>
      <w:color w:val="605E5C"/>
      <w:shd w:val="clear" w:color="auto" w:fill="E1DFDD"/>
    </w:rPr>
  </w:style>
  <w:style w:type="character" w:styleId="CommentReference">
    <w:name w:val="annotation reference"/>
    <w:basedOn w:val="DefaultParagraphFont"/>
    <w:uiPriority w:val="99"/>
    <w:semiHidden/>
    <w:unhideWhenUsed/>
    <w:rsid w:val="00A525C8"/>
    <w:rPr>
      <w:sz w:val="16"/>
      <w:szCs w:val="16"/>
    </w:rPr>
  </w:style>
  <w:style w:type="paragraph" w:styleId="CommentText">
    <w:name w:val="annotation text"/>
    <w:basedOn w:val="Normal"/>
    <w:link w:val="CommentTextChar"/>
    <w:uiPriority w:val="99"/>
    <w:semiHidden/>
    <w:unhideWhenUsed/>
    <w:rsid w:val="00A525C8"/>
    <w:pPr>
      <w:spacing w:line="240" w:lineRule="auto"/>
    </w:pPr>
    <w:rPr>
      <w:sz w:val="20"/>
      <w:szCs w:val="20"/>
    </w:rPr>
  </w:style>
  <w:style w:type="character" w:customStyle="1" w:styleId="CommentTextChar">
    <w:name w:val="Comment Text Char"/>
    <w:basedOn w:val="DefaultParagraphFont"/>
    <w:link w:val="CommentText"/>
    <w:uiPriority w:val="99"/>
    <w:semiHidden/>
    <w:rsid w:val="00A525C8"/>
    <w:rPr>
      <w:sz w:val="20"/>
      <w:szCs w:val="20"/>
    </w:rPr>
  </w:style>
  <w:style w:type="paragraph" w:styleId="CommentSubject">
    <w:name w:val="annotation subject"/>
    <w:basedOn w:val="CommentText"/>
    <w:next w:val="CommentText"/>
    <w:link w:val="CommentSubjectChar"/>
    <w:uiPriority w:val="99"/>
    <w:semiHidden/>
    <w:unhideWhenUsed/>
    <w:rsid w:val="00A525C8"/>
    <w:rPr>
      <w:b/>
      <w:bCs/>
    </w:rPr>
  </w:style>
  <w:style w:type="character" w:customStyle="1" w:styleId="CommentSubjectChar">
    <w:name w:val="Comment Subject Char"/>
    <w:basedOn w:val="CommentTextChar"/>
    <w:link w:val="CommentSubject"/>
    <w:uiPriority w:val="99"/>
    <w:semiHidden/>
    <w:rsid w:val="00A525C8"/>
    <w:rPr>
      <w:b/>
      <w:bCs/>
      <w:sz w:val="20"/>
      <w:szCs w:val="20"/>
    </w:rPr>
  </w:style>
  <w:style w:type="character" w:styleId="FollowedHyperlink">
    <w:name w:val="FollowedHyperlink"/>
    <w:basedOn w:val="DefaultParagraphFont"/>
    <w:uiPriority w:val="99"/>
    <w:semiHidden/>
    <w:unhideWhenUsed/>
    <w:rsid w:val="000D2CDB"/>
    <w:rPr>
      <w:color w:val="954F72" w:themeColor="followedHyperlink"/>
      <w:u w:val="single"/>
    </w:rPr>
  </w:style>
  <w:style w:type="paragraph" w:customStyle="1" w:styleId="Default">
    <w:name w:val="Default"/>
    <w:rsid w:val="00970AFE"/>
    <w:pPr>
      <w:autoSpaceDE w:val="0"/>
      <w:autoSpaceDN w:val="0"/>
      <w:adjustRightInd w:val="0"/>
      <w:spacing w:after="0" w:line="240" w:lineRule="auto"/>
    </w:pPr>
    <w:rPr>
      <w:rFonts w:ascii="ScalaLancetPro" w:hAnsi="ScalaLancetPro" w:cs="ScalaLancetPro"/>
      <w:color w:val="000000"/>
      <w:sz w:val="24"/>
      <w:szCs w:val="24"/>
    </w:rPr>
  </w:style>
  <w:style w:type="paragraph" w:styleId="Revision">
    <w:name w:val="Revision"/>
    <w:hidden/>
    <w:uiPriority w:val="99"/>
    <w:semiHidden/>
    <w:rsid w:val="00D865B0"/>
    <w:pPr>
      <w:spacing w:after="0" w:line="240" w:lineRule="auto"/>
    </w:pPr>
  </w:style>
  <w:style w:type="paragraph" w:styleId="Subtitle">
    <w:name w:val="Subtitle"/>
    <w:basedOn w:val="Normal"/>
    <w:next w:val="Normal"/>
    <w:link w:val="SubtitleChar"/>
    <w:uiPriority w:val="11"/>
    <w:qFormat/>
    <w:rsid w:val="00A4224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4224A"/>
    <w:rPr>
      <w:color w:val="5A5A5A" w:themeColor="text1" w:themeTint="A5"/>
      <w:spacing w:val="15"/>
    </w:rPr>
  </w:style>
  <w:style w:type="paragraph" w:styleId="Header">
    <w:name w:val="header"/>
    <w:basedOn w:val="Normal"/>
    <w:link w:val="HeaderChar"/>
    <w:uiPriority w:val="99"/>
    <w:unhideWhenUsed/>
    <w:rsid w:val="00A42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24A"/>
  </w:style>
  <w:style w:type="paragraph" w:styleId="Footer">
    <w:name w:val="footer"/>
    <w:basedOn w:val="Normal"/>
    <w:link w:val="FooterChar"/>
    <w:uiPriority w:val="99"/>
    <w:unhideWhenUsed/>
    <w:rsid w:val="00A42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24A"/>
  </w:style>
  <w:style w:type="character" w:customStyle="1" w:styleId="Heading2Char">
    <w:name w:val="Heading 2 Char"/>
    <w:basedOn w:val="DefaultParagraphFont"/>
    <w:link w:val="Heading2"/>
    <w:uiPriority w:val="9"/>
    <w:rsid w:val="00A4224A"/>
    <w:rPr>
      <w:rFonts w:eastAsiaTheme="majorEastAsia" w:cstheme="minorHAnsi"/>
      <w:b/>
      <w:bCs/>
      <w:color w:val="538135" w:themeColor="accent6" w:themeShade="BF"/>
      <w:sz w:val="26"/>
      <w:szCs w:val="26"/>
    </w:rPr>
  </w:style>
  <w:style w:type="character" w:styleId="Emphasis">
    <w:name w:val="Emphasis"/>
    <w:basedOn w:val="DefaultParagraphFont"/>
    <w:uiPriority w:val="20"/>
    <w:qFormat/>
    <w:rsid w:val="00A4224A"/>
    <w:rPr>
      <w:color w:val="70AD47"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thelancet.com/journals/lancet/article/PIIS0140-6736(23)00011-9/fulltext" TargetMode="External"/><Relationship Id="rId18" Type="http://schemas.openxmlformats.org/officeDocument/2006/relationships/hyperlink" Target="https://gbr01.safelinks.protection.outlook.com/?url=https%3A%2F%2Fwww.sciencedirect.com%2Fscience%2Farticle%2Fpii%2FS2352827321002846%3Fvia%253Dihub&amp;data=05%7C02%7Canna.brook1%40nhs.net%7C420aa79238004afd6e7108dc1a390a58%7C37c354b285b047f5b22207b48d774ee3%7C0%7C1%7C638414079788974109%7CUnknown%7CTWFpbGZsb3d8eyJWIjoiMC4wLjAwMDAiLCJQIjoiV2luMzIiLCJBTiI6Ik1haWwiLCJXVCI6Mn0%3D%7C3000%7C%7C%7C&amp;sdata=soD5F1BDU8jRhIMi3azwLVhjFkm2xPu3HXHnWLIDpU4%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helancet.com/journals/langlo/article/PIIS2214-109X(22)00185-1/fulltext" TargetMode="External"/><Relationship Id="rId17" Type="http://schemas.openxmlformats.org/officeDocument/2006/relationships/hyperlink" Target="https://www.youtube.com/watch?v=R-gUBzPa28U" TargetMode="External"/><Relationship Id="rId2" Type="http://schemas.openxmlformats.org/officeDocument/2006/relationships/styles" Target="styles.xml"/><Relationship Id="rId16" Type="http://schemas.openxmlformats.org/officeDocument/2006/relationships/hyperlink" Target="https://systematicreviewsjournal.biomedcentral.com/articles/10.1186/s13643-023-02323-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eback2030.com/" TargetMode="External"/><Relationship Id="rId5" Type="http://schemas.openxmlformats.org/officeDocument/2006/relationships/footnotes" Target="footnotes.xml"/><Relationship Id="rId15" Type="http://schemas.openxmlformats.org/officeDocument/2006/relationships/hyperlink" Target="https://www.ncbi.nlm.nih.gov/pmc/articles/PMC6187765/" TargetMode="External"/><Relationship Id="rId10" Type="http://schemas.openxmlformats.org/officeDocument/2006/relationships/hyperlink" Target="https://openpolicy.blog.gov.uk/2016/03/07/exploring-the-evidence/" TargetMode="External"/><Relationship Id="rId19" Type="http://schemas.openxmlformats.org/officeDocument/2006/relationships/hyperlink" Target="https://www.adph.org.uk/resources/good-governance-toolk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h.bmj.com/content/8/1/e01021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dc:creator>
  <cp:keywords/>
  <dc:description/>
  <cp:lastModifiedBy>Heather Partridge</cp:lastModifiedBy>
  <cp:revision>2</cp:revision>
  <dcterms:created xsi:type="dcterms:W3CDTF">2024-04-26T14:41:00Z</dcterms:created>
  <dcterms:modified xsi:type="dcterms:W3CDTF">2024-04-26T14:41:00Z</dcterms:modified>
</cp:coreProperties>
</file>