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5836" w14:textId="77777777" w:rsidR="002C7350" w:rsidRPr="002C7350" w:rsidRDefault="002C7350" w:rsidP="002C7350">
      <w:pPr>
        <w:rPr>
          <w:b/>
          <w:bCs/>
          <w:sz w:val="21"/>
          <w:szCs w:val="21"/>
        </w:rPr>
      </w:pPr>
      <w:r w:rsidRPr="002C735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>UKHSA Centre for Climate and Health Security (CCHS) notes the following NIHR call for funding (Stage 1 deadline 23</w:t>
      </w:r>
      <w:r w:rsidRPr="002C7350">
        <w:rPr>
          <w:rFonts w:ascii="Calibri" w:hAnsi="Calibri" w:cs="Calibri"/>
          <w:color w:val="242424"/>
          <w:sz w:val="21"/>
          <w:szCs w:val="21"/>
          <w:shd w:val="clear" w:color="auto" w:fill="FFFFFF"/>
          <w:vertAlign w:val="superscript"/>
        </w:rPr>
        <w:t>rd</w:t>
      </w:r>
      <w:r w:rsidRPr="002C735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 xml:space="preserve"> April). The ambition of CCHS is to ensure the health harms from climate change and adverse weather are minimised, and to improve health for all people, across current and future generations. </w:t>
      </w:r>
      <w:proofErr w:type="gramStart"/>
      <w:r w:rsidRPr="002C735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>In particular, we</w:t>
      </w:r>
      <w:proofErr w:type="gramEnd"/>
      <w:r w:rsidRPr="002C735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 xml:space="preserve"> are keen to support research on the following:</w:t>
      </w:r>
    </w:p>
    <w:p w14:paraId="13DC4CCD" w14:textId="77777777" w:rsidR="002C7350" w:rsidRPr="002C7350" w:rsidRDefault="002C7350">
      <w:pPr>
        <w:rPr>
          <w:b/>
          <w:bCs/>
          <w:sz w:val="21"/>
          <w:szCs w:val="21"/>
          <w:lang w:val="en-US"/>
        </w:rPr>
      </w:pPr>
    </w:p>
    <w:p w14:paraId="0062CCE4" w14:textId="5074000A" w:rsidR="00BE2B97" w:rsidRPr="002C7350" w:rsidRDefault="00BE2B97">
      <w:pPr>
        <w:rPr>
          <w:b/>
          <w:bCs/>
          <w:sz w:val="21"/>
          <w:szCs w:val="21"/>
        </w:rPr>
      </w:pPr>
      <w:r w:rsidRPr="002C7350">
        <w:rPr>
          <w:b/>
          <w:bCs/>
          <w:sz w:val="21"/>
          <w:szCs w:val="21"/>
          <w:lang w:val="en-US"/>
        </w:rPr>
        <w:t xml:space="preserve">NIHR funded call: </w:t>
      </w:r>
      <w:r w:rsidRPr="002C7350">
        <w:rPr>
          <w:b/>
          <w:bCs/>
          <w:sz w:val="21"/>
          <w:szCs w:val="21"/>
        </w:rPr>
        <w:t>What are the impacts of local authority led interventions aimed at climate change mitigation and/or adaptation on health and inequalities?</w:t>
      </w:r>
    </w:p>
    <w:p w14:paraId="620216DA" w14:textId="77777777" w:rsidR="00BE2B97" w:rsidRPr="002C7350" w:rsidRDefault="00BE2B97">
      <w:pPr>
        <w:rPr>
          <w:sz w:val="21"/>
          <w:szCs w:val="21"/>
        </w:rPr>
      </w:pPr>
    </w:p>
    <w:p w14:paraId="33E7E020" w14:textId="77777777" w:rsidR="00BE2B97" w:rsidRPr="002C7350" w:rsidRDefault="00BE2B97" w:rsidP="00BE2B97">
      <w:pPr>
        <w:rPr>
          <w:sz w:val="21"/>
          <w:szCs w:val="21"/>
        </w:rPr>
      </w:pPr>
      <w:r w:rsidRPr="002C7350">
        <w:rPr>
          <w:sz w:val="21"/>
          <w:szCs w:val="21"/>
        </w:rPr>
        <w:t>Framing:</w:t>
      </w:r>
    </w:p>
    <w:p w14:paraId="618E05C3" w14:textId="77777777" w:rsidR="00BE2B97" w:rsidRPr="002C7350" w:rsidRDefault="00BE2B97" w:rsidP="00BE2B97">
      <w:pPr>
        <w:numPr>
          <w:ilvl w:val="0"/>
          <w:numId w:val="1"/>
        </w:numPr>
        <w:rPr>
          <w:sz w:val="21"/>
          <w:szCs w:val="21"/>
        </w:rPr>
      </w:pPr>
      <w:r w:rsidRPr="002C7350">
        <w:rPr>
          <w:sz w:val="21"/>
          <w:szCs w:val="21"/>
        </w:rPr>
        <w:t xml:space="preserve">Climate change is opportunity to redefine the social and environmental determinants of </w:t>
      </w:r>
      <w:proofErr w:type="gramStart"/>
      <w:r w:rsidRPr="002C7350">
        <w:rPr>
          <w:sz w:val="21"/>
          <w:szCs w:val="21"/>
        </w:rPr>
        <w:t>health</w:t>
      </w:r>
      <w:proofErr w:type="gramEnd"/>
    </w:p>
    <w:p w14:paraId="207FF763" w14:textId="77777777" w:rsidR="00BE2B97" w:rsidRPr="002C7350" w:rsidRDefault="00BE2B97" w:rsidP="00BE2B97">
      <w:pPr>
        <w:numPr>
          <w:ilvl w:val="0"/>
          <w:numId w:val="1"/>
        </w:numPr>
        <w:rPr>
          <w:sz w:val="21"/>
          <w:szCs w:val="21"/>
        </w:rPr>
      </w:pPr>
      <w:r w:rsidRPr="002C7350">
        <w:rPr>
          <w:sz w:val="21"/>
          <w:szCs w:val="21"/>
        </w:rPr>
        <w:t>Co-benefits</w:t>
      </w:r>
    </w:p>
    <w:p w14:paraId="684259DE" w14:textId="77777777" w:rsidR="00BE2B97" w:rsidRPr="002C7350" w:rsidRDefault="00BE2B97" w:rsidP="00BE2B97">
      <w:pPr>
        <w:numPr>
          <w:ilvl w:val="0"/>
          <w:numId w:val="1"/>
        </w:numPr>
        <w:rPr>
          <w:sz w:val="21"/>
          <w:szCs w:val="21"/>
        </w:rPr>
      </w:pPr>
      <w:r w:rsidRPr="002C7350">
        <w:rPr>
          <w:sz w:val="21"/>
          <w:szCs w:val="21"/>
        </w:rPr>
        <w:t xml:space="preserve">Interventions that mitigate the impact of climate change have the potential to reduce health inequalities by reducing risk factors that are more prevalent among disadvantaged </w:t>
      </w:r>
      <w:proofErr w:type="gramStart"/>
      <w:r w:rsidRPr="002C7350">
        <w:rPr>
          <w:sz w:val="21"/>
          <w:szCs w:val="21"/>
        </w:rPr>
        <w:t>groups</w:t>
      </w:r>
      <w:proofErr w:type="gramEnd"/>
    </w:p>
    <w:p w14:paraId="547E8FBC" w14:textId="4628CE64" w:rsidR="00BE2B97" w:rsidRPr="002C7350" w:rsidRDefault="00BE2B97" w:rsidP="00BE2B97">
      <w:pPr>
        <w:numPr>
          <w:ilvl w:val="0"/>
          <w:numId w:val="1"/>
        </w:numPr>
        <w:rPr>
          <w:sz w:val="21"/>
          <w:szCs w:val="21"/>
        </w:rPr>
      </w:pPr>
      <w:r w:rsidRPr="002C7350">
        <w:rPr>
          <w:sz w:val="21"/>
          <w:szCs w:val="21"/>
        </w:rPr>
        <w:t xml:space="preserve">Population groups who are likely to experience the most severe impact of climate change are the least likely to engage due to tangible and </w:t>
      </w:r>
      <w:r w:rsidR="00D03C55" w:rsidRPr="002C7350">
        <w:rPr>
          <w:sz w:val="21"/>
          <w:szCs w:val="21"/>
        </w:rPr>
        <w:t>intangible</w:t>
      </w:r>
      <w:r w:rsidRPr="002C7350">
        <w:rPr>
          <w:sz w:val="21"/>
          <w:szCs w:val="21"/>
        </w:rPr>
        <w:t xml:space="preserve"> barriers.</w:t>
      </w:r>
    </w:p>
    <w:p w14:paraId="165D0354" w14:textId="77777777" w:rsidR="00BE2B97" w:rsidRPr="002C7350" w:rsidRDefault="00BE2B97" w:rsidP="00BE2B97">
      <w:pPr>
        <w:rPr>
          <w:sz w:val="21"/>
          <w:szCs w:val="21"/>
        </w:rPr>
      </w:pPr>
      <w:r w:rsidRPr="002C7350">
        <w:rPr>
          <w:sz w:val="21"/>
          <w:szCs w:val="21"/>
        </w:rPr>
        <w:t xml:space="preserve">Consider whole remit of </w:t>
      </w:r>
      <w:proofErr w:type="gramStart"/>
      <w:r w:rsidRPr="002C7350">
        <w:rPr>
          <w:sz w:val="21"/>
          <w:szCs w:val="21"/>
        </w:rPr>
        <w:t>LA</w:t>
      </w:r>
      <w:proofErr w:type="gramEnd"/>
    </w:p>
    <w:p w14:paraId="095573CD" w14:textId="77777777" w:rsidR="00BE2B97" w:rsidRPr="002C7350" w:rsidRDefault="00BE2B97" w:rsidP="00BE2B97">
      <w:pPr>
        <w:numPr>
          <w:ilvl w:val="0"/>
          <w:numId w:val="2"/>
        </w:numPr>
        <w:rPr>
          <w:sz w:val="21"/>
          <w:szCs w:val="21"/>
        </w:rPr>
      </w:pPr>
      <w:proofErr w:type="gramStart"/>
      <w:r w:rsidRPr="002C7350">
        <w:rPr>
          <w:sz w:val="21"/>
          <w:szCs w:val="21"/>
        </w:rPr>
        <w:t>E.g.</w:t>
      </w:r>
      <w:proofErr w:type="gramEnd"/>
      <w:r w:rsidRPr="002C7350">
        <w:rPr>
          <w:sz w:val="21"/>
          <w:szCs w:val="21"/>
        </w:rPr>
        <w:t xml:space="preserve"> Transport, planning, housing, green and blue space management.</w:t>
      </w:r>
    </w:p>
    <w:p w14:paraId="286411D5" w14:textId="77777777" w:rsidR="00BE2B97" w:rsidRPr="002C7350" w:rsidRDefault="00BE2B97">
      <w:pPr>
        <w:rPr>
          <w:sz w:val="21"/>
          <w:szCs w:val="21"/>
        </w:rPr>
      </w:pPr>
    </w:p>
    <w:p w14:paraId="5C618E21" w14:textId="77777777" w:rsidR="00BE2B97" w:rsidRPr="002C7350" w:rsidRDefault="00BE2B97">
      <w:pPr>
        <w:rPr>
          <w:sz w:val="21"/>
          <w:szCs w:val="21"/>
        </w:rPr>
      </w:pPr>
    </w:p>
    <w:p w14:paraId="57B234BE" w14:textId="77777777" w:rsidR="00BE2B97" w:rsidRPr="002C7350" w:rsidRDefault="00BE2B97" w:rsidP="00BE2B97">
      <w:pPr>
        <w:rPr>
          <w:sz w:val="21"/>
          <w:szCs w:val="21"/>
        </w:rPr>
      </w:pPr>
      <w:r w:rsidRPr="002C7350">
        <w:rPr>
          <w:sz w:val="21"/>
          <w:szCs w:val="21"/>
          <w:lang w:val="en-US"/>
        </w:rPr>
        <w:t>Research areas of interest</w:t>
      </w:r>
    </w:p>
    <w:p w14:paraId="6A9E5222" w14:textId="77777777" w:rsidR="00BE2B97" w:rsidRPr="002C7350" w:rsidRDefault="00BE2B97" w:rsidP="00BE2B97">
      <w:pPr>
        <w:numPr>
          <w:ilvl w:val="0"/>
          <w:numId w:val="3"/>
        </w:numPr>
        <w:rPr>
          <w:sz w:val="21"/>
          <w:szCs w:val="21"/>
        </w:rPr>
      </w:pPr>
      <w:r w:rsidRPr="002C7350">
        <w:rPr>
          <w:sz w:val="21"/>
          <w:szCs w:val="21"/>
          <w:lang w:val="en-US"/>
        </w:rPr>
        <w:t>E</w:t>
      </w:r>
      <w:r w:rsidRPr="002C7350">
        <w:rPr>
          <w:sz w:val="21"/>
          <w:szCs w:val="21"/>
        </w:rPr>
        <w:t>valuations or modelling of the impact on health of Local Authority actions to mitigate impacts of climate change (including health economic evaluations)</w:t>
      </w:r>
    </w:p>
    <w:p w14:paraId="56C1DEE2" w14:textId="77777777" w:rsidR="00BE2B97" w:rsidRPr="002C7350" w:rsidRDefault="00BE2B97" w:rsidP="00BE2B97">
      <w:pPr>
        <w:numPr>
          <w:ilvl w:val="0"/>
          <w:numId w:val="3"/>
        </w:numPr>
        <w:rPr>
          <w:sz w:val="21"/>
          <w:szCs w:val="21"/>
        </w:rPr>
      </w:pPr>
      <w:r w:rsidRPr="002C7350">
        <w:rPr>
          <w:sz w:val="21"/>
          <w:szCs w:val="21"/>
        </w:rPr>
        <w:t xml:space="preserve">Evaluation of interventions acting on the acceptability, to the public, of climate change actions, particularly in under-served </w:t>
      </w:r>
      <w:proofErr w:type="gramStart"/>
      <w:r w:rsidRPr="002C7350">
        <w:rPr>
          <w:sz w:val="21"/>
          <w:szCs w:val="21"/>
        </w:rPr>
        <w:t>groups</w:t>
      </w:r>
      <w:proofErr w:type="gramEnd"/>
    </w:p>
    <w:p w14:paraId="129D4A98" w14:textId="77777777" w:rsidR="00BE2B97" w:rsidRPr="002C7350" w:rsidRDefault="00BE2B97" w:rsidP="00BE2B97">
      <w:pPr>
        <w:ind w:left="720"/>
        <w:rPr>
          <w:sz w:val="21"/>
          <w:szCs w:val="21"/>
        </w:rPr>
      </w:pPr>
    </w:p>
    <w:p w14:paraId="66905998" w14:textId="77777777" w:rsidR="00BE2B97" w:rsidRPr="002C7350" w:rsidRDefault="00BE2B97" w:rsidP="00BE2B97">
      <w:pPr>
        <w:rPr>
          <w:sz w:val="21"/>
          <w:szCs w:val="21"/>
        </w:rPr>
      </w:pPr>
      <w:r w:rsidRPr="002C7350">
        <w:rPr>
          <w:sz w:val="21"/>
          <w:szCs w:val="21"/>
        </w:rPr>
        <w:t>Evaluations of interest</w:t>
      </w:r>
    </w:p>
    <w:p w14:paraId="4AC9FFB9" w14:textId="77777777" w:rsidR="00BE2B97" w:rsidRPr="002C7350" w:rsidRDefault="00BE2B97" w:rsidP="00BE2B97">
      <w:pPr>
        <w:numPr>
          <w:ilvl w:val="0"/>
          <w:numId w:val="4"/>
        </w:numPr>
        <w:rPr>
          <w:sz w:val="21"/>
          <w:szCs w:val="21"/>
        </w:rPr>
      </w:pPr>
      <w:r w:rsidRPr="002C7350">
        <w:rPr>
          <w:sz w:val="21"/>
          <w:szCs w:val="21"/>
        </w:rPr>
        <w:t>Barriers and facilitators of local interventions</w:t>
      </w:r>
    </w:p>
    <w:p w14:paraId="42643E70" w14:textId="77777777" w:rsidR="00BE2B97" w:rsidRPr="002C7350" w:rsidRDefault="00BE2B97" w:rsidP="00BE2B97">
      <w:pPr>
        <w:numPr>
          <w:ilvl w:val="0"/>
          <w:numId w:val="4"/>
        </w:numPr>
        <w:rPr>
          <w:sz w:val="21"/>
          <w:szCs w:val="21"/>
        </w:rPr>
      </w:pPr>
      <w:r w:rsidRPr="002C7350">
        <w:rPr>
          <w:sz w:val="21"/>
          <w:szCs w:val="21"/>
        </w:rPr>
        <w:t>Scaling up of interventions</w:t>
      </w:r>
    </w:p>
    <w:p w14:paraId="5A623912" w14:textId="6A7417A2" w:rsidR="00BE2B97" w:rsidRPr="002C7350" w:rsidRDefault="00BE2B97" w:rsidP="00BE2B97">
      <w:pPr>
        <w:numPr>
          <w:ilvl w:val="0"/>
          <w:numId w:val="4"/>
        </w:numPr>
        <w:rPr>
          <w:sz w:val="21"/>
          <w:szCs w:val="21"/>
        </w:rPr>
      </w:pPr>
      <w:r w:rsidRPr="002C7350">
        <w:rPr>
          <w:sz w:val="21"/>
          <w:szCs w:val="21"/>
        </w:rPr>
        <w:t>Behaviour change</w:t>
      </w:r>
    </w:p>
    <w:p w14:paraId="1ABC2D8D" w14:textId="77777777" w:rsidR="00BE2B97" w:rsidRPr="002C7350" w:rsidRDefault="00BE2B97" w:rsidP="00BE2B97">
      <w:pPr>
        <w:numPr>
          <w:ilvl w:val="0"/>
          <w:numId w:val="4"/>
        </w:numPr>
        <w:rPr>
          <w:sz w:val="21"/>
          <w:szCs w:val="21"/>
        </w:rPr>
      </w:pPr>
      <w:r w:rsidRPr="002C7350">
        <w:rPr>
          <w:sz w:val="21"/>
          <w:szCs w:val="21"/>
        </w:rPr>
        <w:t>Health and non-health costs and benefits of investing in mitigation/</w:t>
      </w:r>
      <w:proofErr w:type="gramStart"/>
      <w:r w:rsidRPr="002C7350">
        <w:rPr>
          <w:sz w:val="21"/>
          <w:szCs w:val="21"/>
        </w:rPr>
        <w:t>adapt</w:t>
      </w:r>
      <w:proofErr w:type="gramEnd"/>
    </w:p>
    <w:p w14:paraId="402C2C0D" w14:textId="5A567ABB" w:rsidR="00BE2B97" w:rsidRPr="002C7350" w:rsidRDefault="00BE2B97" w:rsidP="00BE2B97">
      <w:pPr>
        <w:numPr>
          <w:ilvl w:val="0"/>
          <w:numId w:val="4"/>
        </w:numPr>
        <w:rPr>
          <w:sz w:val="21"/>
          <w:szCs w:val="21"/>
        </w:rPr>
      </w:pPr>
      <w:r w:rsidRPr="002C7350">
        <w:rPr>
          <w:sz w:val="21"/>
          <w:szCs w:val="21"/>
        </w:rPr>
        <w:t>Perceptions and understandings of Climate change and health across communities</w:t>
      </w:r>
    </w:p>
    <w:p w14:paraId="79A2C08B" w14:textId="13C10582" w:rsidR="00BE2B97" w:rsidRPr="002C7350" w:rsidRDefault="00BE2B97" w:rsidP="00BE2B97">
      <w:pPr>
        <w:numPr>
          <w:ilvl w:val="0"/>
          <w:numId w:val="4"/>
        </w:numPr>
        <w:rPr>
          <w:sz w:val="21"/>
          <w:szCs w:val="21"/>
        </w:rPr>
      </w:pPr>
      <w:r w:rsidRPr="002C7350">
        <w:rPr>
          <w:sz w:val="21"/>
          <w:szCs w:val="21"/>
        </w:rPr>
        <w:t>The effectiveness of community engagement in this area and the role of the perception of ‘fairness’ in public acceptability</w:t>
      </w:r>
    </w:p>
    <w:p w14:paraId="2F74DC11" w14:textId="77777777" w:rsidR="00BE2B97" w:rsidRPr="002C7350" w:rsidRDefault="00BE2B97" w:rsidP="00BE2B97">
      <w:pPr>
        <w:rPr>
          <w:sz w:val="21"/>
          <w:szCs w:val="21"/>
        </w:rPr>
      </w:pPr>
    </w:p>
    <w:p w14:paraId="6618B392" w14:textId="77777777" w:rsidR="00BE2B97" w:rsidRPr="002C7350" w:rsidRDefault="00BE2B97" w:rsidP="00BE2B97">
      <w:pPr>
        <w:rPr>
          <w:sz w:val="21"/>
          <w:szCs w:val="21"/>
        </w:rPr>
      </w:pPr>
    </w:p>
    <w:p w14:paraId="73C17BD2" w14:textId="312B52EA" w:rsidR="00BE2B97" w:rsidRPr="002C7350" w:rsidRDefault="00BE2B97" w:rsidP="00BE2B97">
      <w:pPr>
        <w:rPr>
          <w:sz w:val="21"/>
          <w:szCs w:val="21"/>
        </w:rPr>
      </w:pPr>
      <w:r w:rsidRPr="002C7350">
        <w:rPr>
          <w:sz w:val="21"/>
          <w:szCs w:val="21"/>
        </w:rPr>
        <w:t>Deadline for stage 1 – 23</w:t>
      </w:r>
      <w:r w:rsidRPr="002C7350">
        <w:rPr>
          <w:sz w:val="21"/>
          <w:szCs w:val="21"/>
          <w:vertAlign w:val="superscript"/>
        </w:rPr>
        <w:t>rd</w:t>
      </w:r>
      <w:r w:rsidRPr="002C7350">
        <w:rPr>
          <w:sz w:val="21"/>
          <w:szCs w:val="21"/>
        </w:rPr>
        <w:t xml:space="preserve"> April</w:t>
      </w:r>
    </w:p>
    <w:p w14:paraId="16C081D8" w14:textId="77777777" w:rsidR="00BE2B97" w:rsidRPr="002C7350" w:rsidRDefault="00BE2B97">
      <w:pPr>
        <w:rPr>
          <w:sz w:val="21"/>
          <w:szCs w:val="21"/>
        </w:rPr>
      </w:pPr>
    </w:p>
    <w:p w14:paraId="4539CCA0" w14:textId="0E107181" w:rsidR="002C7350" w:rsidRPr="002C7350" w:rsidRDefault="002C7350">
      <w:pPr>
        <w:rPr>
          <w:sz w:val="21"/>
          <w:szCs w:val="21"/>
        </w:rPr>
      </w:pPr>
      <w:r w:rsidRPr="002C735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>If you are a Local Authority who is preparing a bid and would like to explore whether support from CCHS would be helpful, please get in touch via </w:t>
      </w:r>
      <w:hyperlink r:id="rId5" w:history="1">
        <w:r w:rsidRPr="002C7350">
          <w:rPr>
            <w:rStyle w:val="Hyperlink"/>
            <w:rFonts w:ascii="Calibri" w:hAnsi="Calibri" w:cs="Calibri"/>
            <w:sz w:val="21"/>
            <w:szCs w:val="21"/>
            <w:bdr w:val="none" w:sz="0" w:space="0" w:color="auto" w:frame="1"/>
            <w:shd w:val="clear" w:color="auto" w:fill="FFFFFF"/>
          </w:rPr>
          <w:t>CCHS@ukhsa.gov.uk</w:t>
        </w:r>
      </w:hyperlink>
      <w:r w:rsidRPr="002C735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>.</w:t>
      </w:r>
    </w:p>
    <w:sectPr w:rsidR="002C7350" w:rsidRPr="002C7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CEB"/>
    <w:multiLevelType w:val="hybridMultilevel"/>
    <w:tmpl w:val="3B463634"/>
    <w:lvl w:ilvl="0" w:tplc="D986A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67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25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22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8B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C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48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49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1E76A1"/>
    <w:multiLevelType w:val="hybridMultilevel"/>
    <w:tmpl w:val="94483116"/>
    <w:lvl w:ilvl="0" w:tplc="5EE4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46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0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9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4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61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C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AE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A972A3"/>
    <w:multiLevelType w:val="hybridMultilevel"/>
    <w:tmpl w:val="46A457D2"/>
    <w:lvl w:ilvl="0" w:tplc="89E6B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E8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89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26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2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A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A6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CD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720FFD"/>
    <w:multiLevelType w:val="hybridMultilevel"/>
    <w:tmpl w:val="444C69C0"/>
    <w:lvl w:ilvl="0" w:tplc="6C3CA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4F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C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24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AC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8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C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8A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1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63205606">
    <w:abstractNumId w:val="3"/>
  </w:num>
  <w:num w:numId="2" w16cid:durableId="1760756137">
    <w:abstractNumId w:val="0"/>
  </w:num>
  <w:num w:numId="3" w16cid:durableId="1191382742">
    <w:abstractNumId w:val="2"/>
  </w:num>
  <w:num w:numId="4" w16cid:durableId="729811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97"/>
    <w:rsid w:val="000034D7"/>
    <w:rsid w:val="002C7350"/>
    <w:rsid w:val="00BE2B97"/>
    <w:rsid w:val="00D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3D4DD"/>
  <w15:chartTrackingRefBased/>
  <w15:docId w15:val="{CD1F497C-2A84-334A-9991-E64D555D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9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HS@ukhs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Tara</dc:creator>
  <cp:keywords/>
  <dc:description/>
  <cp:lastModifiedBy>Quinn, Tara</cp:lastModifiedBy>
  <cp:revision>2</cp:revision>
  <dcterms:created xsi:type="dcterms:W3CDTF">2024-02-26T14:53:00Z</dcterms:created>
  <dcterms:modified xsi:type="dcterms:W3CDTF">2024-02-26T14:53:00Z</dcterms:modified>
</cp:coreProperties>
</file>